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2C3B" w14:textId="6B18A6AB" w:rsidR="00404142" w:rsidRPr="00C0332C" w:rsidRDefault="00404142" w:rsidP="00404142">
      <w:pPr>
        <w:spacing w:after="0"/>
        <w:jc w:val="center"/>
        <w:rPr>
          <w:b/>
          <w:bCs/>
          <w:sz w:val="48"/>
          <w:szCs w:val="48"/>
        </w:rPr>
      </w:pPr>
      <w:r w:rsidRPr="00C0332C">
        <w:rPr>
          <w:b/>
          <w:bCs/>
          <w:sz w:val="48"/>
          <w:szCs w:val="48"/>
        </w:rPr>
        <w:t>Northampton</w:t>
      </w:r>
      <w:r w:rsidR="006A3747">
        <w:rPr>
          <w:b/>
          <w:bCs/>
          <w:sz w:val="48"/>
          <w:szCs w:val="48"/>
        </w:rPr>
        <w:t>shire</w:t>
      </w:r>
      <w:r w:rsidRPr="00C0332C">
        <w:rPr>
          <w:b/>
          <w:bCs/>
          <w:sz w:val="48"/>
          <w:szCs w:val="48"/>
        </w:rPr>
        <w:t xml:space="preserve"> Partnership Homes Limited</w:t>
      </w:r>
    </w:p>
    <w:p w14:paraId="5BB0875C" w14:textId="77777777" w:rsidR="00404142" w:rsidRDefault="00404142" w:rsidP="00404142">
      <w:pPr>
        <w:pStyle w:val="Footer"/>
        <w:spacing w:after="0" w:line="240" w:lineRule="auto"/>
        <w:jc w:val="center"/>
        <w:rPr>
          <w:bCs/>
          <w:sz w:val="16"/>
          <w:szCs w:val="16"/>
        </w:rPr>
      </w:pPr>
      <w:r>
        <w:rPr>
          <w:bCs/>
          <w:sz w:val="16"/>
          <w:szCs w:val="16"/>
        </w:rPr>
        <w:t>Company No: 09019453 Registered Address: The Guildhall, St Giles Square Northampton NN1 1DE</w:t>
      </w:r>
    </w:p>
    <w:p w14:paraId="1E45A98B" w14:textId="77777777" w:rsidR="00404142" w:rsidRDefault="00404142" w:rsidP="00404142">
      <w:pPr>
        <w:spacing w:after="0" w:line="240" w:lineRule="auto"/>
        <w:jc w:val="center"/>
        <w:rPr>
          <w:rFonts w:cs="Arial"/>
          <w:b/>
          <w:sz w:val="28"/>
          <w:szCs w:val="28"/>
        </w:rPr>
      </w:pPr>
    </w:p>
    <w:p w14:paraId="7FE8C402" w14:textId="6247323B" w:rsidR="00A702F6" w:rsidRPr="00224510" w:rsidRDefault="00B70CE9" w:rsidP="00A702F6">
      <w:pPr>
        <w:jc w:val="center"/>
        <w:rPr>
          <w:rFonts w:cs="Arial"/>
          <w:b/>
          <w:sz w:val="28"/>
          <w:szCs w:val="28"/>
        </w:rPr>
      </w:pPr>
      <w:r>
        <w:rPr>
          <w:rFonts w:cs="Arial"/>
          <w:b/>
          <w:sz w:val="28"/>
          <w:szCs w:val="28"/>
        </w:rPr>
        <w:t xml:space="preserve">Minutes and </w:t>
      </w:r>
      <w:r w:rsidR="00447299">
        <w:rPr>
          <w:rFonts w:cs="Arial"/>
          <w:b/>
          <w:sz w:val="28"/>
          <w:szCs w:val="28"/>
        </w:rPr>
        <w:t>A</w:t>
      </w:r>
      <w:r w:rsidR="001956AC" w:rsidRPr="00224510">
        <w:rPr>
          <w:rFonts w:cs="Arial"/>
          <w:b/>
          <w:sz w:val="28"/>
          <w:szCs w:val="28"/>
        </w:rPr>
        <w:t>ction</w:t>
      </w:r>
      <w:r>
        <w:rPr>
          <w:rFonts w:cs="Arial"/>
          <w:b/>
          <w:sz w:val="28"/>
          <w:szCs w:val="28"/>
        </w:rPr>
        <w:t>s</w:t>
      </w:r>
      <w:r w:rsidR="001956AC" w:rsidRPr="00224510">
        <w:rPr>
          <w:rFonts w:cs="Arial"/>
          <w:b/>
          <w:sz w:val="28"/>
          <w:szCs w:val="28"/>
        </w:rPr>
        <w:t xml:space="preserve"> </w:t>
      </w:r>
    </w:p>
    <w:p w14:paraId="1FB48C78" w14:textId="7F83A186" w:rsidR="001956AC" w:rsidRDefault="002C3901" w:rsidP="00A702F6">
      <w:pPr>
        <w:jc w:val="center"/>
        <w:rPr>
          <w:rFonts w:cs="Arial"/>
          <w:b/>
          <w:sz w:val="28"/>
          <w:szCs w:val="28"/>
        </w:rPr>
      </w:pPr>
      <w:r>
        <w:rPr>
          <w:rFonts w:cs="Arial"/>
          <w:b/>
          <w:sz w:val="28"/>
          <w:szCs w:val="28"/>
        </w:rPr>
        <w:t>16</w:t>
      </w:r>
      <w:r w:rsidRPr="002C3901">
        <w:rPr>
          <w:rFonts w:cs="Arial"/>
          <w:b/>
          <w:sz w:val="28"/>
          <w:szCs w:val="28"/>
          <w:vertAlign w:val="superscript"/>
        </w:rPr>
        <w:t>th</w:t>
      </w:r>
      <w:r>
        <w:rPr>
          <w:rFonts w:cs="Arial"/>
          <w:b/>
          <w:sz w:val="28"/>
          <w:szCs w:val="28"/>
        </w:rPr>
        <w:t xml:space="preserve"> August</w:t>
      </w:r>
      <w:r w:rsidR="00ED2605">
        <w:rPr>
          <w:rFonts w:cs="Arial"/>
          <w:b/>
          <w:sz w:val="28"/>
          <w:szCs w:val="28"/>
        </w:rPr>
        <w:t xml:space="preserve"> 20</w:t>
      </w:r>
      <w:r w:rsidR="003043AF">
        <w:rPr>
          <w:rFonts w:cs="Arial"/>
          <w:b/>
          <w:sz w:val="28"/>
          <w:szCs w:val="28"/>
        </w:rPr>
        <w:t>2</w:t>
      </w:r>
      <w:r>
        <w:rPr>
          <w:rFonts w:cs="Arial"/>
          <w:b/>
          <w:sz w:val="28"/>
          <w:szCs w:val="28"/>
        </w:rPr>
        <w:t>3</w:t>
      </w:r>
      <w:r w:rsidR="00E85B9E" w:rsidRPr="00224510">
        <w:rPr>
          <w:rFonts w:cs="Arial"/>
          <w:b/>
          <w:sz w:val="28"/>
          <w:szCs w:val="28"/>
        </w:rPr>
        <w:t xml:space="preserve"> Board Meeting</w:t>
      </w:r>
    </w:p>
    <w:p w14:paraId="6C7DA84A" w14:textId="6E3EBD85" w:rsidR="003C21D5" w:rsidRDefault="003C21D5" w:rsidP="003C21D5">
      <w:pPr>
        <w:spacing w:after="0" w:line="240" w:lineRule="auto"/>
        <w:jc w:val="center"/>
        <w:rPr>
          <w:rFonts w:cs="Arial"/>
          <w:i/>
          <w:sz w:val="24"/>
          <w:szCs w:val="24"/>
        </w:rPr>
      </w:pPr>
      <w:r w:rsidRPr="00B07939">
        <w:rPr>
          <w:rFonts w:cs="Arial"/>
          <w:i/>
          <w:sz w:val="24"/>
          <w:szCs w:val="24"/>
        </w:rPr>
        <w:t>Lee Room, Westbridge Depot, St James Mill Road, Northampton NN5 5JW</w:t>
      </w:r>
    </w:p>
    <w:p w14:paraId="77F9860F" w14:textId="6091B4E5" w:rsidR="0006210C" w:rsidRDefault="0006210C" w:rsidP="003C21D5">
      <w:pPr>
        <w:spacing w:after="0" w:line="240" w:lineRule="auto"/>
        <w:jc w:val="center"/>
        <w:rPr>
          <w:rFonts w:cs="Arial"/>
          <w:i/>
          <w:sz w:val="24"/>
          <w:szCs w:val="24"/>
        </w:rPr>
      </w:pPr>
      <w:r>
        <w:rPr>
          <w:rFonts w:cs="Arial"/>
          <w:i/>
          <w:sz w:val="24"/>
          <w:szCs w:val="24"/>
        </w:rPr>
        <w:t>And Teams.</w:t>
      </w:r>
    </w:p>
    <w:p w14:paraId="2BAE10C6" w14:textId="77777777" w:rsidR="003C21D5" w:rsidRPr="00224510" w:rsidRDefault="003C21D5" w:rsidP="00A702F6">
      <w:pPr>
        <w:jc w:val="center"/>
        <w:rPr>
          <w:rFonts w:cs="Arial"/>
          <w:b/>
          <w:sz w:val="28"/>
          <w:szCs w:val="28"/>
        </w:rPr>
      </w:pPr>
    </w:p>
    <w:p w14:paraId="4FC6595D" w14:textId="77777777" w:rsidR="00132A6B" w:rsidRPr="00224510" w:rsidRDefault="00C25AA4" w:rsidP="00615961">
      <w:pPr>
        <w:tabs>
          <w:tab w:val="left" w:pos="3300"/>
        </w:tabs>
        <w:spacing w:after="0" w:line="240" w:lineRule="auto"/>
        <w:rPr>
          <w:rFonts w:cs="Arial"/>
          <w:sz w:val="24"/>
          <w:szCs w:val="24"/>
        </w:rPr>
      </w:pPr>
      <w:r w:rsidRPr="00224510">
        <w:rPr>
          <w:rFonts w:cs="Arial"/>
          <w:b/>
          <w:sz w:val="24"/>
          <w:szCs w:val="24"/>
        </w:rPr>
        <w:t>Present</w:t>
      </w:r>
      <w:r w:rsidR="00EB1BB1" w:rsidRPr="00224510">
        <w:rPr>
          <w:rFonts w:cs="Arial"/>
          <w:sz w:val="24"/>
          <w:szCs w:val="24"/>
        </w:rPr>
        <w:t xml:space="preserve">  </w:t>
      </w:r>
      <w:r w:rsidR="00615961">
        <w:rPr>
          <w:rFonts w:cs="Arial"/>
          <w:sz w:val="24"/>
          <w:szCs w:val="24"/>
        </w:rPr>
        <w:tab/>
      </w:r>
    </w:p>
    <w:p w14:paraId="075F3209" w14:textId="77777777" w:rsidR="00C25AA4" w:rsidRPr="00224510" w:rsidRDefault="00C25AA4" w:rsidP="00DA2B4E">
      <w:pPr>
        <w:spacing w:after="0" w:line="240" w:lineRule="auto"/>
        <w:rPr>
          <w:rFonts w:cs="Arial"/>
          <w:b/>
          <w:sz w:val="24"/>
          <w:szCs w:val="24"/>
        </w:rPr>
      </w:pPr>
      <w:r w:rsidRPr="00224510">
        <w:rPr>
          <w:rFonts w:cs="Arial"/>
          <w:b/>
          <w:sz w:val="24"/>
          <w:szCs w:val="24"/>
        </w:rPr>
        <w:t>Board Members:</w:t>
      </w:r>
    </w:p>
    <w:p w14:paraId="7EBEB780" w14:textId="143704E9" w:rsidR="00110B07" w:rsidRPr="00705D2D" w:rsidRDefault="0006210C" w:rsidP="00110B07">
      <w:pPr>
        <w:spacing w:after="0" w:line="240" w:lineRule="auto"/>
        <w:rPr>
          <w:rFonts w:cs="Arial"/>
          <w:sz w:val="24"/>
          <w:szCs w:val="24"/>
        </w:rPr>
      </w:pPr>
      <w:r>
        <w:rPr>
          <w:rFonts w:cs="Arial"/>
          <w:sz w:val="24"/>
          <w:szCs w:val="24"/>
          <w:lang w:eastAsia="ar-SA"/>
        </w:rPr>
        <w:t>Andrew Woods</w:t>
      </w:r>
      <w:r w:rsidR="00110B07" w:rsidRPr="007A53E6">
        <w:rPr>
          <w:rFonts w:cs="Arial"/>
          <w:sz w:val="24"/>
          <w:szCs w:val="24"/>
          <w:lang w:eastAsia="ar-SA"/>
        </w:rPr>
        <w:t xml:space="preserve"> (</w:t>
      </w:r>
      <w:r>
        <w:rPr>
          <w:rFonts w:cs="Arial"/>
          <w:sz w:val="24"/>
          <w:szCs w:val="24"/>
          <w:lang w:eastAsia="ar-SA"/>
        </w:rPr>
        <w:t>AHW</w:t>
      </w:r>
      <w:r w:rsidR="00110B07" w:rsidRPr="007A53E6">
        <w:rPr>
          <w:rFonts w:cs="Arial"/>
          <w:sz w:val="24"/>
          <w:szCs w:val="24"/>
          <w:lang w:eastAsia="ar-SA"/>
        </w:rPr>
        <w:t xml:space="preserve">) </w:t>
      </w:r>
      <w:r w:rsidR="00110B07" w:rsidRPr="007A53E6">
        <w:rPr>
          <w:rFonts w:cs="Arial"/>
          <w:i/>
          <w:sz w:val="24"/>
          <w:szCs w:val="24"/>
          <w:lang w:eastAsia="ar-SA"/>
        </w:rPr>
        <w:t>Chair</w:t>
      </w:r>
      <w:r w:rsidR="00110B07" w:rsidRPr="007A53E6">
        <w:rPr>
          <w:rFonts w:cs="Arial"/>
          <w:sz w:val="24"/>
          <w:szCs w:val="24"/>
          <w:lang w:eastAsia="ar-SA"/>
        </w:rPr>
        <w:t xml:space="preserve">, John Connolly (JC) </w:t>
      </w:r>
      <w:r w:rsidR="00110B07" w:rsidRPr="007A53E6">
        <w:rPr>
          <w:rFonts w:cs="Arial"/>
          <w:i/>
          <w:iCs/>
          <w:sz w:val="24"/>
          <w:szCs w:val="24"/>
          <w:lang w:eastAsia="ar-SA"/>
        </w:rPr>
        <w:t xml:space="preserve">Vice Chair, </w:t>
      </w:r>
      <w:r w:rsidR="00110B07" w:rsidRPr="007A53E6">
        <w:rPr>
          <w:rFonts w:cs="Arial"/>
          <w:sz w:val="24"/>
          <w:szCs w:val="24"/>
          <w:lang w:eastAsia="ar-SA"/>
        </w:rPr>
        <w:t xml:space="preserve">Andrew </w:t>
      </w:r>
      <w:r w:rsidR="00110B07" w:rsidRPr="00705D2D">
        <w:rPr>
          <w:rFonts w:cs="Arial"/>
          <w:sz w:val="24"/>
          <w:szCs w:val="24"/>
          <w:lang w:eastAsia="ar-SA"/>
        </w:rPr>
        <w:t>Kilbride (AK),</w:t>
      </w:r>
    </w:p>
    <w:p w14:paraId="1465E8A8" w14:textId="4B2132C9" w:rsidR="00110B07" w:rsidRPr="00CC6A13" w:rsidRDefault="0006210C" w:rsidP="00110B07">
      <w:pPr>
        <w:spacing w:after="0" w:line="240" w:lineRule="auto"/>
        <w:rPr>
          <w:rFonts w:cs="Arial"/>
          <w:sz w:val="24"/>
          <w:szCs w:val="24"/>
          <w:lang w:eastAsia="ar-SA"/>
        </w:rPr>
      </w:pPr>
      <w:r>
        <w:rPr>
          <w:rFonts w:cs="Arial"/>
          <w:sz w:val="24"/>
          <w:szCs w:val="24"/>
          <w:lang w:eastAsia="ar-SA"/>
        </w:rPr>
        <w:t>Bob Purser (BP</w:t>
      </w:r>
      <w:r w:rsidR="00110B07" w:rsidRPr="00705D2D">
        <w:rPr>
          <w:rFonts w:cs="Arial"/>
          <w:sz w:val="24"/>
          <w:szCs w:val="24"/>
          <w:lang w:eastAsia="ar-SA"/>
        </w:rPr>
        <w:t xml:space="preserve">), </w:t>
      </w:r>
      <w:r w:rsidR="00110B07" w:rsidRPr="00705D2D">
        <w:rPr>
          <w:rFonts w:cs="Arial"/>
          <w:sz w:val="24"/>
          <w:szCs w:val="24"/>
        </w:rPr>
        <w:t xml:space="preserve">Chris Webb (CAW), </w:t>
      </w:r>
      <w:r w:rsidR="00110B07" w:rsidRPr="00705D2D">
        <w:rPr>
          <w:rFonts w:cs="Arial"/>
          <w:sz w:val="24"/>
          <w:szCs w:val="24"/>
          <w:lang w:eastAsia="ar-SA"/>
        </w:rPr>
        <w:t>Godfrey Kanengoni (GK),</w:t>
      </w:r>
      <w:r>
        <w:rPr>
          <w:rFonts w:cs="Arial"/>
          <w:sz w:val="24"/>
          <w:szCs w:val="24"/>
          <w:lang w:eastAsia="ar-SA"/>
        </w:rPr>
        <w:t xml:space="preserve"> </w:t>
      </w:r>
      <w:r w:rsidR="00110B07" w:rsidRPr="00705D2D">
        <w:rPr>
          <w:rFonts w:cs="Arial"/>
          <w:sz w:val="24"/>
          <w:szCs w:val="24"/>
          <w:lang w:eastAsia="ar-SA"/>
        </w:rPr>
        <w:t>Nigel Hinch (</w:t>
      </w:r>
      <w:r w:rsidR="00110B07">
        <w:rPr>
          <w:rFonts w:cs="Arial"/>
          <w:sz w:val="24"/>
          <w:szCs w:val="24"/>
          <w:lang w:eastAsia="ar-SA"/>
        </w:rPr>
        <w:t xml:space="preserve">NH), </w:t>
      </w:r>
      <w:r>
        <w:rPr>
          <w:rFonts w:cs="Arial"/>
          <w:sz w:val="24"/>
          <w:szCs w:val="24"/>
          <w:lang w:eastAsia="ar-SA"/>
        </w:rPr>
        <w:t xml:space="preserve">Rakesh Thakarar (RT), </w:t>
      </w:r>
      <w:r w:rsidR="00110B07" w:rsidRPr="00705D2D">
        <w:rPr>
          <w:rFonts w:cs="Arial"/>
          <w:sz w:val="24"/>
          <w:szCs w:val="24"/>
          <w:lang w:eastAsia="ar-SA"/>
        </w:rPr>
        <w:t>Rebecca Peck (RP)</w:t>
      </w:r>
    </w:p>
    <w:p w14:paraId="5F0AF93D" w14:textId="77777777" w:rsidR="00ED2605" w:rsidRPr="00224510" w:rsidRDefault="00ED2605" w:rsidP="00DA2B4E">
      <w:pPr>
        <w:spacing w:after="0" w:line="240" w:lineRule="auto"/>
        <w:rPr>
          <w:rFonts w:cs="Arial"/>
          <w:b/>
          <w:sz w:val="24"/>
          <w:szCs w:val="24"/>
        </w:rPr>
      </w:pPr>
    </w:p>
    <w:p w14:paraId="430893E5" w14:textId="77777777" w:rsidR="00C25AA4" w:rsidRPr="00224510" w:rsidRDefault="00BA2C1F" w:rsidP="00DA2B4E">
      <w:pPr>
        <w:spacing w:after="0" w:line="240" w:lineRule="auto"/>
        <w:rPr>
          <w:rFonts w:cs="Arial"/>
          <w:b/>
          <w:sz w:val="24"/>
          <w:szCs w:val="24"/>
        </w:rPr>
      </w:pPr>
      <w:r w:rsidRPr="00224510">
        <w:rPr>
          <w:rFonts w:cs="Arial"/>
          <w:b/>
          <w:sz w:val="24"/>
          <w:szCs w:val="24"/>
        </w:rPr>
        <w:t>Officers</w:t>
      </w:r>
      <w:r w:rsidR="00C25AA4" w:rsidRPr="00224510">
        <w:rPr>
          <w:rFonts w:cs="Arial"/>
          <w:b/>
          <w:sz w:val="24"/>
          <w:szCs w:val="24"/>
        </w:rPr>
        <w:t>:</w:t>
      </w:r>
    </w:p>
    <w:p w14:paraId="7E5084AF" w14:textId="77F31410" w:rsidR="00804F8C" w:rsidRPr="00057FC0" w:rsidRDefault="00B53844" w:rsidP="00DA2B4E">
      <w:pPr>
        <w:spacing w:after="0" w:line="240" w:lineRule="auto"/>
        <w:rPr>
          <w:rFonts w:cs="Arial"/>
          <w:i/>
          <w:sz w:val="24"/>
          <w:szCs w:val="24"/>
        </w:rPr>
      </w:pPr>
      <w:r>
        <w:rPr>
          <w:rFonts w:cs="Arial"/>
          <w:sz w:val="24"/>
          <w:szCs w:val="24"/>
        </w:rPr>
        <w:t>Steve Feast</w:t>
      </w:r>
      <w:r w:rsidR="00E85B9E" w:rsidRPr="00224510">
        <w:rPr>
          <w:rFonts w:cs="Arial"/>
          <w:sz w:val="24"/>
          <w:szCs w:val="24"/>
        </w:rPr>
        <w:t xml:space="preserve"> (</w:t>
      </w:r>
      <w:r>
        <w:rPr>
          <w:rFonts w:cs="Arial"/>
          <w:sz w:val="24"/>
          <w:szCs w:val="24"/>
        </w:rPr>
        <w:t>SF</w:t>
      </w:r>
      <w:r w:rsidR="00E85B9E" w:rsidRPr="00224510">
        <w:rPr>
          <w:rFonts w:cs="Arial"/>
          <w:sz w:val="24"/>
          <w:szCs w:val="24"/>
        </w:rPr>
        <w:t xml:space="preserve">), </w:t>
      </w:r>
      <w:r>
        <w:rPr>
          <w:rFonts w:cs="Arial"/>
          <w:sz w:val="24"/>
          <w:szCs w:val="24"/>
        </w:rPr>
        <w:t xml:space="preserve">Dale Robertson (DR), Julie Petrie (JP), Linda Cherrington (LC), </w:t>
      </w:r>
      <w:r w:rsidR="003A66B8">
        <w:rPr>
          <w:rFonts w:cs="Arial"/>
          <w:sz w:val="24"/>
          <w:szCs w:val="24"/>
        </w:rPr>
        <w:t xml:space="preserve">Olukunle Olujide (OO), </w:t>
      </w:r>
      <w:r>
        <w:rPr>
          <w:rFonts w:cs="Arial"/>
          <w:sz w:val="24"/>
          <w:szCs w:val="24"/>
        </w:rPr>
        <w:t>Lisa Ellis</w:t>
      </w:r>
      <w:r w:rsidR="00E85B9E" w:rsidRPr="00224510">
        <w:rPr>
          <w:rFonts w:cs="Arial"/>
          <w:sz w:val="24"/>
          <w:szCs w:val="24"/>
        </w:rPr>
        <w:t xml:space="preserve"> (</w:t>
      </w:r>
      <w:r>
        <w:rPr>
          <w:rFonts w:cs="Arial"/>
          <w:sz w:val="24"/>
          <w:szCs w:val="24"/>
        </w:rPr>
        <w:t>LE</w:t>
      </w:r>
      <w:r w:rsidR="00E85B9E" w:rsidRPr="00224510">
        <w:rPr>
          <w:rFonts w:cs="Arial"/>
          <w:sz w:val="24"/>
          <w:szCs w:val="24"/>
        </w:rPr>
        <w:t xml:space="preserve">) </w:t>
      </w:r>
      <w:r w:rsidR="00E85B9E" w:rsidRPr="00224510">
        <w:rPr>
          <w:rFonts w:cs="Arial"/>
          <w:i/>
          <w:sz w:val="24"/>
          <w:szCs w:val="24"/>
        </w:rPr>
        <w:t>minutes</w:t>
      </w:r>
    </w:p>
    <w:p w14:paraId="71FF27EE" w14:textId="77777777" w:rsidR="00804F8C" w:rsidRPr="00224510" w:rsidRDefault="00804F8C" w:rsidP="00DA2B4E">
      <w:pPr>
        <w:spacing w:after="0" w:line="240" w:lineRule="auto"/>
        <w:rPr>
          <w:rFonts w:cs="Arial"/>
          <w:sz w:val="24"/>
          <w:szCs w:val="24"/>
        </w:rPr>
      </w:pPr>
    </w:p>
    <w:p w14:paraId="64ABC720" w14:textId="4E70626A" w:rsidR="00E30502" w:rsidRDefault="00A702F6" w:rsidP="00DA2B4E">
      <w:pPr>
        <w:spacing w:after="0" w:line="240" w:lineRule="auto"/>
        <w:rPr>
          <w:rFonts w:cs="Arial"/>
          <w:b/>
          <w:sz w:val="24"/>
          <w:szCs w:val="24"/>
        </w:rPr>
      </w:pPr>
      <w:r w:rsidRPr="00224510">
        <w:rPr>
          <w:rFonts w:cs="Arial"/>
          <w:b/>
          <w:sz w:val="24"/>
          <w:szCs w:val="24"/>
        </w:rPr>
        <w:t>Apologies:</w:t>
      </w:r>
    </w:p>
    <w:p w14:paraId="2538C549" w14:textId="6FBAE9EC" w:rsidR="00D2168F" w:rsidRDefault="009321FB" w:rsidP="00D2168F">
      <w:pPr>
        <w:spacing w:after="0" w:line="240" w:lineRule="auto"/>
        <w:rPr>
          <w:rFonts w:cs="Arial"/>
          <w:sz w:val="24"/>
          <w:szCs w:val="24"/>
        </w:rPr>
      </w:pPr>
      <w:r w:rsidRPr="00705D2D">
        <w:rPr>
          <w:rFonts w:cs="Arial"/>
          <w:sz w:val="24"/>
          <w:szCs w:val="24"/>
          <w:lang w:eastAsia="ar-SA"/>
        </w:rPr>
        <w:t>Chris Deery (CD),</w:t>
      </w:r>
      <w:r w:rsidRPr="00705D2D">
        <w:rPr>
          <w:rFonts w:cs="Arial"/>
          <w:sz w:val="24"/>
          <w:szCs w:val="24"/>
        </w:rPr>
        <w:t xml:space="preserve"> </w:t>
      </w:r>
      <w:r w:rsidR="0043248D" w:rsidRPr="00705D2D">
        <w:rPr>
          <w:rFonts w:cs="Arial"/>
          <w:sz w:val="24"/>
          <w:szCs w:val="24"/>
          <w:lang w:eastAsia="ar-SA"/>
        </w:rPr>
        <w:t xml:space="preserve">Clare Whitehead (CLW), </w:t>
      </w:r>
      <w:r w:rsidR="00D2168F" w:rsidRPr="00A9745B">
        <w:rPr>
          <w:rFonts w:cs="Arial"/>
          <w:sz w:val="24"/>
          <w:szCs w:val="24"/>
        </w:rPr>
        <w:t>Jane Carr (JCa) WNC</w:t>
      </w:r>
    </w:p>
    <w:p w14:paraId="4E07BEE8" w14:textId="77777777" w:rsidR="00777FF0" w:rsidRPr="00695142" w:rsidRDefault="00777FF0" w:rsidP="00777FF0">
      <w:pPr>
        <w:spacing w:after="0"/>
        <w:rPr>
          <w:rFonts w:ascii="Arial" w:hAnsi="Arial" w:cs="Arial"/>
          <w:b/>
          <w:sz w:val="23"/>
          <w:szCs w:val="23"/>
        </w:rPr>
      </w:pP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1"/>
        <w:gridCol w:w="13"/>
        <w:gridCol w:w="7155"/>
        <w:gridCol w:w="37"/>
        <w:gridCol w:w="9"/>
        <w:gridCol w:w="13"/>
        <w:gridCol w:w="16"/>
        <w:gridCol w:w="12"/>
        <w:gridCol w:w="1000"/>
      </w:tblGrid>
      <w:tr w:rsidR="00B70CE9" w:rsidRPr="00241AF6" w14:paraId="4B2EBF4B" w14:textId="77777777" w:rsidTr="004922E4">
        <w:trPr>
          <w:trHeight w:val="415"/>
        </w:trPr>
        <w:tc>
          <w:tcPr>
            <w:tcW w:w="9243" w:type="dxa"/>
            <w:gridSpan w:val="10"/>
            <w:shd w:val="clear" w:color="auto" w:fill="BFBFBF"/>
          </w:tcPr>
          <w:p w14:paraId="1A33AADE" w14:textId="77777777" w:rsidR="00B70CE9" w:rsidRPr="00241AF6" w:rsidRDefault="00EC6EF3" w:rsidP="00241AF6">
            <w:pPr>
              <w:rPr>
                <w:b/>
              </w:rPr>
            </w:pPr>
            <w:r w:rsidRPr="00241AF6">
              <w:rPr>
                <w:b/>
              </w:rPr>
              <w:t>Minutes and Actions</w:t>
            </w:r>
          </w:p>
        </w:tc>
      </w:tr>
      <w:tr w:rsidR="00EB1BB1" w:rsidRPr="00241AF6" w14:paraId="13C8DA75" w14:textId="77777777" w:rsidTr="004922E4">
        <w:trPr>
          <w:trHeight w:val="415"/>
        </w:trPr>
        <w:tc>
          <w:tcPr>
            <w:tcW w:w="9243" w:type="dxa"/>
            <w:gridSpan w:val="10"/>
            <w:shd w:val="clear" w:color="auto" w:fill="BFBFBF"/>
          </w:tcPr>
          <w:p w14:paraId="5B6D865F" w14:textId="18E6EA9F" w:rsidR="00EB1BB1" w:rsidRPr="00241AF6" w:rsidRDefault="00EC6EF3" w:rsidP="00241AF6">
            <w:pPr>
              <w:rPr>
                <w:b/>
              </w:rPr>
            </w:pPr>
            <w:r w:rsidRPr="00241AF6">
              <w:rPr>
                <w:b/>
              </w:rPr>
              <w:t>Meeting Commenced:</w:t>
            </w:r>
            <w:r w:rsidR="00B53844">
              <w:rPr>
                <w:b/>
              </w:rPr>
              <w:t xml:space="preserve"> </w:t>
            </w:r>
            <w:r w:rsidR="00B53844" w:rsidRPr="00B24159">
              <w:rPr>
                <w:b/>
              </w:rPr>
              <w:t>18:00</w:t>
            </w:r>
          </w:p>
        </w:tc>
      </w:tr>
      <w:tr w:rsidR="00C67F72" w:rsidRPr="00241AF6" w14:paraId="59D5001A" w14:textId="77777777" w:rsidTr="008578AD">
        <w:trPr>
          <w:trHeight w:val="415"/>
        </w:trPr>
        <w:tc>
          <w:tcPr>
            <w:tcW w:w="988" w:type="dxa"/>
            <w:gridSpan w:val="2"/>
            <w:shd w:val="clear" w:color="auto" w:fill="D9D9D9"/>
          </w:tcPr>
          <w:p w14:paraId="1B717C38" w14:textId="77777777" w:rsidR="00EB1BB1" w:rsidRPr="00241AF6" w:rsidRDefault="00DF196E" w:rsidP="00241AF6">
            <w:pPr>
              <w:rPr>
                <w:b/>
              </w:rPr>
            </w:pPr>
            <w:r w:rsidRPr="00241AF6">
              <w:rPr>
                <w:b/>
              </w:rPr>
              <w:t xml:space="preserve">Item </w:t>
            </w:r>
            <w:r w:rsidR="00271C0B" w:rsidRPr="00241AF6">
              <w:rPr>
                <w:b/>
              </w:rPr>
              <w:t>1</w:t>
            </w:r>
          </w:p>
        </w:tc>
        <w:tc>
          <w:tcPr>
            <w:tcW w:w="7227" w:type="dxa"/>
            <w:gridSpan w:val="5"/>
            <w:shd w:val="clear" w:color="auto" w:fill="D9D9D9"/>
          </w:tcPr>
          <w:p w14:paraId="6BB72F48" w14:textId="77777777" w:rsidR="00EB1BB1" w:rsidRPr="00241AF6" w:rsidRDefault="00B70CE9" w:rsidP="00241AF6">
            <w:pPr>
              <w:rPr>
                <w:b/>
              </w:rPr>
            </w:pPr>
            <w:r w:rsidRPr="00241AF6">
              <w:rPr>
                <w:b/>
              </w:rPr>
              <w:t>Standing Items</w:t>
            </w:r>
          </w:p>
        </w:tc>
        <w:tc>
          <w:tcPr>
            <w:tcW w:w="1028" w:type="dxa"/>
            <w:gridSpan w:val="3"/>
            <w:shd w:val="clear" w:color="auto" w:fill="D9D9D9"/>
          </w:tcPr>
          <w:p w14:paraId="6D9DCD2C" w14:textId="77777777" w:rsidR="00EB1BB1" w:rsidRPr="00241AF6" w:rsidRDefault="00EB1BB1" w:rsidP="00241AF6">
            <w:pPr>
              <w:rPr>
                <w:b/>
              </w:rPr>
            </w:pPr>
            <w:r w:rsidRPr="00241AF6">
              <w:rPr>
                <w:b/>
              </w:rPr>
              <w:t>Action</w:t>
            </w:r>
          </w:p>
        </w:tc>
      </w:tr>
      <w:tr w:rsidR="00BB10F5" w:rsidRPr="00241AF6" w14:paraId="37EC0C5D" w14:textId="77777777" w:rsidTr="004922E4">
        <w:trPr>
          <w:trHeight w:val="415"/>
        </w:trPr>
        <w:tc>
          <w:tcPr>
            <w:tcW w:w="9243" w:type="dxa"/>
            <w:gridSpan w:val="10"/>
            <w:shd w:val="clear" w:color="auto" w:fill="D9D9D9"/>
          </w:tcPr>
          <w:p w14:paraId="5B71CDAB" w14:textId="0ED26C56" w:rsidR="00453286" w:rsidRPr="00241AF6" w:rsidRDefault="00BB10F5" w:rsidP="00241AF6">
            <w:pPr>
              <w:rPr>
                <w:b/>
              </w:rPr>
            </w:pPr>
            <w:r w:rsidRPr="00241AF6">
              <w:rPr>
                <w:b/>
              </w:rPr>
              <w:t>Item 1</w:t>
            </w:r>
            <w:r w:rsidR="00271C0B" w:rsidRPr="00241AF6">
              <w:rPr>
                <w:b/>
              </w:rPr>
              <w:t>.1</w:t>
            </w:r>
            <w:r w:rsidRPr="00241AF6">
              <w:rPr>
                <w:b/>
              </w:rPr>
              <w:t xml:space="preserve">: </w:t>
            </w:r>
            <w:r w:rsidR="007A514F">
              <w:rPr>
                <w:b/>
              </w:rPr>
              <w:t xml:space="preserve"> </w:t>
            </w:r>
            <w:r w:rsidR="00E85B9E" w:rsidRPr="00241AF6">
              <w:rPr>
                <w:b/>
              </w:rPr>
              <w:t>Welcome and apologies</w:t>
            </w:r>
          </w:p>
        </w:tc>
      </w:tr>
      <w:tr w:rsidR="00F03F2A" w:rsidRPr="00241AF6" w14:paraId="6773D59F" w14:textId="77777777" w:rsidTr="008578AD">
        <w:tc>
          <w:tcPr>
            <w:tcW w:w="988" w:type="dxa"/>
            <w:gridSpan w:val="2"/>
            <w:shd w:val="clear" w:color="auto" w:fill="auto"/>
          </w:tcPr>
          <w:p w14:paraId="75A30D32" w14:textId="77777777" w:rsidR="00F03F2A" w:rsidRPr="00241AF6" w:rsidRDefault="00F03F2A" w:rsidP="00241AF6">
            <w:pPr>
              <w:pStyle w:val="NoSpacing"/>
            </w:pPr>
            <w:r w:rsidRPr="00241AF6">
              <w:t>1.1</w:t>
            </w:r>
          </w:p>
        </w:tc>
        <w:tc>
          <w:tcPr>
            <w:tcW w:w="7227" w:type="dxa"/>
            <w:gridSpan w:val="5"/>
            <w:shd w:val="clear" w:color="auto" w:fill="auto"/>
          </w:tcPr>
          <w:p w14:paraId="315AC3A8" w14:textId="77777777" w:rsidR="00B53844" w:rsidRDefault="00B53844" w:rsidP="00B53844">
            <w:pPr>
              <w:pStyle w:val="NoSpacing"/>
            </w:pPr>
            <w:r>
              <w:t xml:space="preserve">The Chair welcomed all to the meeting. </w:t>
            </w:r>
            <w:r w:rsidRPr="004C3AF5">
              <w:t>Apologies were noted as above</w:t>
            </w:r>
            <w:r>
              <w:t xml:space="preserve">. </w:t>
            </w:r>
          </w:p>
          <w:p w14:paraId="0B3E26F6" w14:textId="77777777" w:rsidR="00F03F2A" w:rsidRPr="00241AF6" w:rsidRDefault="00F03F2A" w:rsidP="00241AF6">
            <w:pPr>
              <w:pStyle w:val="NoSpacing"/>
            </w:pPr>
          </w:p>
        </w:tc>
        <w:tc>
          <w:tcPr>
            <w:tcW w:w="1028" w:type="dxa"/>
            <w:gridSpan w:val="3"/>
            <w:shd w:val="clear" w:color="auto" w:fill="auto"/>
          </w:tcPr>
          <w:p w14:paraId="6A695F24" w14:textId="77777777" w:rsidR="00F03F2A" w:rsidRPr="00241AF6" w:rsidRDefault="00F03F2A" w:rsidP="00241AF6">
            <w:pPr>
              <w:pStyle w:val="NoSpacing"/>
            </w:pPr>
          </w:p>
        </w:tc>
      </w:tr>
      <w:tr w:rsidR="00F03F2A" w:rsidRPr="00241AF6" w14:paraId="158E16A2" w14:textId="77777777" w:rsidTr="004922E4">
        <w:tc>
          <w:tcPr>
            <w:tcW w:w="9243" w:type="dxa"/>
            <w:gridSpan w:val="10"/>
            <w:shd w:val="clear" w:color="auto" w:fill="D9D9D9"/>
          </w:tcPr>
          <w:p w14:paraId="61D72407" w14:textId="3992E8BF" w:rsidR="00F03F2A" w:rsidRPr="00241AF6" w:rsidRDefault="00F03F2A" w:rsidP="00241AF6">
            <w:pPr>
              <w:rPr>
                <w:b/>
              </w:rPr>
            </w:pPr>
            <w:r w:rsidRPr="00241AF6">
              <w:rPr>
                <w:b/>
              </w:rPr>
              <w:t xml:space="preserve">Item 1.2: </w:t>
            </w:r>
            <w:r w:rsidR="007A514F">
              <w:rPr>
                <w:b/>
              </w:rPr>
              <w:t xml:space="preserve"> </w:t>
            </w:r>
            <w:r w:rsidRPr="00241AF6">
              <w:rPr>
                <w:b/>
              </w:rPr>
              <w:t>Declaration of interests</w:t>
            </w:r>
          </w:p>
        </w:tc>
      </w:tr>
      <w:tr w:rsidR="00F03F2A" w:rsidRPr="00241AF6" w14:paraId="491850D1" w14:textId="77777777" w:rsidTr="008578AD">
        <w:tc>
          <w:tcPr>
            <w:tcW w:w="988" w:type="dxa"/>
            <w:gridSpan w:val="2"/>
            <w:shd w:val="clear" w:color="auto" w:fill="auto"/>
          </w:tcPr>
          <w:p w14:paraId="07070285" w14:textId="77777777" w:rsidR="00F03F2A" w:rsidRPr="00241AF6" w:rsidRDefault="00F03F2A" w:rsidP="00241AF6">
            <w:pPr>
              <w:pStyle w:val="NoSpacing"/>
            </w:pPr>
            <w:r w:rsidRPr="00241AF6">
              <w:t>1.2</w:t>
            </w:r>
          </w:p>
        </w:tc>
        <w:tc>
          <w:tcPr>
            <w:tcW w:w="7227" w:type="dxa"/>
            <w:gridSpan w:val="5"/>
            <w:shd w:val="clear" w:color="auto" w:fill="auto"/>
          </w:tcPr>
          <w:p w14:paraId="7E6B216F" w14:textId="77777777" w:rsidR="00B53844" w:rsidRDefault="00B53844" w:rsidP="00B53844">
            <w:pPr>
              <w:pStyle w:val="NoSpacing"/>
            </w:pPr>
            <w:r>
              <w:t>None</w:t>
            </w:r>
          </w:p>
          <w:p w14:paraId="32F86E9A" w14:textId="77777777" w:rsidR="00F03F2A" w:rsidRPr="00241AF6" w:rsidRDefault="00F03F2A" w:rsidP="00241AF6">
            <w:pPr>
              <w:pStyle w:val="NoSpacing"/>
            </w:pPr>
          </w:p>
        </w:tc>
        <w:tc>
          <w:tcPr>
            <w:tcW w:w="1028" w:type="dxa"/>
            <w:gridSpan w:val="3"/>
            <w:shd w:val="clear" w:color="auto" w:fill="auto"/>
          </w:tcPr>
          <w:p w14:paraId="7FB7CBF4" w14:textId="77777777" w:rsidR="00F03F2A" w:rsidRPr="00241AF6" w:rsidRDefault="00F03F2A" w:rsidP="00241AF6">
            <w:pPr>
              <w:pStyle w:val="NoSpacing"/>
            </w:pPr>
          </w:p>
        </w:tc>
      </w:tr>
      <w:tr w:rsidR="00F03F2A" w:rsidRPr="00241AF6" w14:paraId="1099160D" w14:textId="77777777" w:rsidTr="004922E4">
        <w:tc>
          <w:tcPr>
            <w:tcW w:w="9243" w:type="dxa"/>
            <w:gridSpan w:val="10"/>
            <w:shd w:val="clear" w:color="auto" w:fill="D9D9D9"/>
          </w:tcPr>
          <w:p w14:paraId="44E14176" w14:textId="53F7C87E" w:rsidR="00F03F2A" w:rsidRPr="00241AF6" w:rsidRDefault="00F03F2A" w:rsidP="00241AF6">
            <w:pPr>
              <w:rPr>
                <w:b/>
              </w:rPr>
            </w:pPr>
            <w:r w:rsidRPr="00241AF6">
              <w:rPr>
                <w:b/>
              </w:rPr>
              <w:t xml:space="preserve">Item 1.3: </w:t>
            </w:r>
            <w:r w:rsidR="007A514F">
              <w:rPr>
                <w:b/>
              </w:rPr>
              <w:t xml:space="preserve"> </w:t>
            </w:r>
            <w:r w:rsidRPr="00241AF6">
              <w:rPr>
                <w:b/>
              </w:rPr>
              <w:t>Minutes of last meeting</w:t>
            </w:r>
          </w:p>
        </w:tc>
      </w:tr>
      <w:tr w:rsidR="00F27878" w:rsidRPr="00241AF6" w14:paraId="6B581658" w14:textId="77777777" w:rsidTr="008578AD">
        <w:tc>
          <w:tcPr>
            <w:tcW w:w="988" w:type="dxa"/>
            <w:gridSpan w:val="2"/>
            <w:shd w:val="clear" w:color="auto" w:fill="auto"/>
          </w:tcPr>
          <w:p w14:paraId="5BEF9D74" w14:textId="77777777" w:rsidR="00F27878" w:rsidRPr="00241AF6" w:rsidRDefault="00F27878" w:rsidP="00F27878">
            <w:pPr>
              <w:pStyle w:val="NoSpacing"/>
              <w:rPr>
                <w:color w:val="000000"/>
              </w:rPr>
            </w:pPr>
            <w:r>
              <w:rPr>
                <w:color w:val="000000"/>
              </w:rPr>
              <w:t>1.3</w:t>
            </w:r>
          </w:p>
        </w:tc>
        <w:tc>
          <w:tcPr>
            <w:tcW w:w="7227" w:type="dxa"/>
            <w:gridSpan w:val="5"/>
            <w:shd w:val="clear" w:color="auto" w:fill="auto"/>
          </w:tcPr>
          <w:p w14:paraId="127855D7" w14:textId="33EEE881" w:rsidR="00F27878" w:rsidRPr="00447299" w:rsidRDefault="00B53844" w:rsidP="00F27878">
            <w:pPr>
              <w:pStyle w:val="NoSpacing"/>
              <w:rPr>
                <w:b/>
                <w:bCs/>
              </w:rPr>
            </w:pPr>
            <w:r w:rsidRPr="00E61B3E">
              <w:rPr>
                <w:b/>
                <w:bCs/>
              </w:rPr>
              <w:t xml:space="preserve">Minutes of the Board meeting held on </w:t>
            </w:r>
            <w:r>
              <w:rPr>
                <w:b/>
                <w:bCs/>
              </w:rPr>
              <w:t>21</w:t>
            </w:r>
            <w:r w:rsidRPr="00B53844">
              <w:rPr>
                <w:b/>
                <w:bCs/>
                <w:vertAlign w:val="superscript"/>
              </w:rPr>
              <w:t>st</w:t>
            </w:r>
            <w:r>
              <w:rPr>
                <w:b/>
                <w:bCs/>
              </w:rPr>
              <w:t xml:space="preserve"> June 2023</w:t>
            </w:r>
            <w:r w:rsidRPr="00E61B3E">
              <w:rPr>
                <w:b/>
                <w:bCs/>
              </w:rPr>
              <w:t xml:space="preserve"> were approved by the Board</w:t>
            </w:r>
            <w:r>
              <w:rPr>
                <w:b/>
                <w:bCs/>
              </w:rPr>
              <w:t>.</w:t>
            </w:r>
          </w:p>
        </w:tc>
        <w:tc>
          <w:tcPr>
            <w:tcW w:w="1028" w:type="dxa"/>
            <w:gridSpan w:val="3"/>
            <w:shd w:val="clear" w:color="auto" w:fill="auto"/>
          </w:tcPr>
          <w:p w14:paraId="2D81E5C2" w14:textId="77777777" w:rsidR="00F27878" w:rsidRPr="00241AF6" w:rsidRDefault="00F27878" w:rsidP="00F27878">
            <w:pPr>
              <w:pStyle w:val="NoSpacing"/>
            </w:pPr>
          </w:p>
        </w:tc>
      </w:tr>
      <w:tr w:rsidR="00F03F2A" w:rsidRPr="00241AF6" w14:paraId="1082E6B8" w14:textId="77777777" w:rsidTr="004922E4">
        <w:trPr>
          <w:trHeight w:val="291"/>
        </w:trPr>
        <w:tc>
          <w:tcPr>
            <w:tcW w:w="9243" w:type="dxa"/>
            <w:gridSpan w:val="10"/>
            <w:shd w:val="clear" w:color="auto" w:fill="D9D9D9"/>
          </w:tcPr>
          <w:p w14:paraId="2D5E2A20" w14:textId="63D37332" w:rsidR="00F03F2A" w:rsidRPr="00241AF6" w:rsidRDefault="00F03F2A" w:rsidP="00241AF6">
            <w:pPr>
              <w:rPr>
                <w:b/>
              </w:rPr>
            </w:pPr>
            <w:r w:rsidRPr="00241AF6">
              <w:rPr>
                <w:b/>
              </w:rPr>
              <w:lastRenderedPageBreak/>
              <w:t xml:space="preserve">Item 1.4: </w:t>
            </w:r>
            <w:r w:rsidR="007A514F">
              <w:rPr>
                <w:b/>
              </w:rPr>
              <w:t xml:space="preserve"> </w:t>
            </w:r>
            <w:r w:rsidRPr="00241AF6">
              <w:rPr>
                <w:b/>
              </w:rPr>
              <w:t>Matters arising</w:t>
            </w:r>
          </w:p>
        </w:tc>
      </w:tr>
      <w:tr w:rsidR="00067CE7" w:rsidRPr="00241AF6" w14:paraId="566BBE29" w14:textId="77777777" w:rsidTr="008578AD">
        <w:trPr>
          <w:trHeight w:val="291"/>
        </w:trPr>
        <w:tc>
          <w:tcPr>
            <w:tcW w:w="988" w:type="dxa"/>
            <w:gridSpan w:val="2"/>
            <w:shd w:val="clear" w:color="auto" w:fill="auto"/>
          </w:tcPr>
          <w:p w14:paraId="08D9D333" w14:textId="77777777" w:rsidR="00067CE7" w:rsidRPr="00241AF6" w:rsidRDefault="00067CE7" w:rsidP="00067CE7">
            <w:pPr>
              <w:pStyle w:val="NoSpacing"/>
              <w:rPr>
                <w:color w:val="000000"/>
              </w:rPr>
            </w:pPr>
            <w:r>
              <w:rPr>
                <w:color w:val="000000"/>
              </w:rPr>
              <w:t>1.4</w:t>
            </w:r>
          </w:p>
        </w:tc>
        <w:tc>
          <w:tcPr>
            <w:tcW w:w="7227" w:type="dxa"/>
            <w:gridSpan w:val="5"/>
            <w:shd w:val="clear" w:color="auto" w:fill="auto"/>
          </w:tcPr>
          <w:p w14:paraId="57045DCE" w14:textId="77777777" w:rsidR="00067CE7" w:rsidRDefault="00B53844" w:rsidP="00067CE7">
            <w:pPr>
              <w:pStyle w:val="NoSpacing"/>
            </w:pPr>
            <w:r>
              <w:t>None</w:t>
            </w:r>
          </w:p>
          <w:p w14:paraId="27880167" w14:textId="2F89DD87" w:rsidR="00B53844" w:rsidRPr="00241AF6" w:rsidRDefault="00B53844" w:rsidP="00067CE7">
            <w:pPr>
              <w:pStyle w:val="NoSpacing"/>
            </w:pPr>
          </w:p>
        </w:tc>
        <w:tc>
          <w:tcPr>
            <w:tcW w:w="1028" w:type="dxa"/>
            <w:gridSpan w:val="3"/>
            <w:shd w:val="clear" w:color="auto" w:fill="auto"/>
          </w:tcPr>
          <w:p w14:paraId="27AA96E6" w14:textId="77777777" w:rsidR="00067CE7" w:rsidRPr="00241AF6" w:rsidRDefault="00067CE7" w:rsidP="00067CE7">
            <w:pPr>
              <w:pStyle w:val="NoSpacing"/>
            </w:pPr>
          </w:p>
        </w:tc>
      </w:tr>
      <w:tr w:rsidR="00067CE7" w:rsidRPr="00241AF6" w14:paraId="6AAFD152" w14:textId="77777777" w:rsidTr="004922E4">
        <w:tc>
          <w:tcPr>
            <w:tcW w:w="9243" w:type="dxa"/>
            <w:gridSpan w:val="10"/>
            <w:shd w:val="clear" w:color="auto" w:fill="D9D9D9"/>
          </w:tcPr>
          <w:p w14:paraId="7E6B051B" w14:textId="41F734CF" w:rsidR="00067CE7" w:rsidRPr="00241AF6" w:rsidRDefault="00067CE7" w:rsidP="00067CE7">
            <w:pPr>
              <w:rPr>
                <w:b/>
                <w:color w:val="000000"/>
              </w:rPr>
            </w:pPr>
            <w:r w:rsidRPr="00241AF6">
              <w:rPr>
                <w:b/>
                <w:color w:val="000000"/>
              </w:rPr>
              <w:t>Item</w:t>
            </w:r>
            <w:r w:rsidRPr="00241AF6">
              <w:rPr>
                <w:b/>
              </w:rPr>
              <w:t xml:space="preserve"> 1.5: </w:t>
            </w:r>
            <w:r w:rsidR="007A514F">
              <w:rPr>
                <w:b/>
              </w:rPr>
              <w:t xml:space="preserve"> </w:t>
            </w:r>
            <w:r w:rsidRPr="00241AF6">
              <w:rPr>
                <w:b/>
              </w:rPr>
              <w:t>Mission, Vision and Values</w:t>
            </w:r>
          </w:p>
        </w:tc>
      </w:tr>
      <w:tr w:rsidR="00067CE7" w:rsidRPr="00241AF6" w14:paraId="5F02C587" w14:textId="77777777" w:rsidTr="008578AD">
        <w:tc>
          <w:tcPr>
            <w:tcW w:w="988" w:type="dxa"/>
            <w:gridSpan w:val="2"/>
            <w:shd w:val="clear" w:color="auto" w:fill="auto"/>
          </w:tcPr>
          <w:p w14:paraId="75FE2202" w14:textId="77777777" w:rsidR="00067CE7" w:rsidRPr="00241AF6" w:rsidRDefault="00067CE7" w:rsidP="00067CE7">
            <w:pPr>
              <w:pStyle w:val="NoSpacing"/>
              <w:rPr>
                <w:color w:val="000000"/>
              </w:rPr>
            </w:pPr>
            <w:r>
              <w:rPr>
                <w:color w:val="000000"/>
              </w:rPr>
              <w:t>1.5</w:t>
            </w:r>
          </w:p>
        </w:tc>
        <w:tc>
          <w:tcPr>
            <w:tcW w:w="7227" w:type="dxa"/>
            <w:gridSpan w:val="5"/>
            <w:shd w:val="clear" w:color="auto" w:fill="auto"/>
          </w:tcPr>
          <w:p w14:paraId="08B4189A" w14:textId="77777777" w:rsidR="005279FF" w:rsidRDefault="00B53844" w:rsidP="00067CE7">
            <w:pPr>
              <w:pStyle w:val="NoSpacing"/>
            </w:pPr>
            <w:r w:rsidRPr="00AB6C48">
              <w:t xml:space="preserve">Mission, </w:t>
            </w:r>
            <w:r>
              <w:t>V</w:t>
            </w:r>
            <w:r w:rsidRPr="00AB6C48">
              <w:t xml:space="preserve">ision, and </w:t>
            </w:r>
            <w:r>
              <w:t>V</w:t>
            </w:r>
            <w:r w:rsidRPr="00AB6C48">
              <w:t xml:space="preserve">alues </w:t>
            </w:r>
            <w:r>
              <w:t>were acknowledged</w:t>
            </w:r>
            <w:r w:rsidRPr="00AB6C48">
              <w:t xml:space="preserve"> in the meeting</w:t>
            </w:r>
            <w:r>
              <w:t>. The Chair highlighted</w:t>
            </w:r>
            <w:r w:rsidR="000177EA">
              <w:t xml:space="preserve"> “we improve lives by sharing a common purpose”</w:t>
            </w:r>
          </w:p>
          <w:p w14:paraId="316BA428" w14:textId="120298FF" w:rsidR="007C7E8D" w:rsidRPr="00241AF6" w:rsidRDefault="007C7E8D" w:rsidP="00067CE7">
            <w:pPr>
              <w:pStyle w:val="NoSpacing"/>
            </w:pPr>
          </w:p>
        </w:tc>
        <w:tc>
          <w:tcPr>
            <w:tcW w:w="1028" w:type="dxa"/>
            <w:gridSpan w:val="3"/>
            <w:shd w:val="clear" w:color="auto" w:fill="auto"/>
          </w:tcPr>
          <w:p w14:paraId="09856F12" w14:textId="77777777" w:rsidR="00067CE7" w:rsidRPr="00241AF6" w:rsidRDefault="00067CE7" w:rsidP="00067CE7">
            <w:pPr>
              <w:pStyle w:val="NoSpacing"/>
            </w:pPr>
          </w:p>
        </w:tc>
      </w:tr>
      <w:tr w:rsidR="00067CE7" w:rsidRPr="00241AF6" w14:paraId="7741B1ED" w14:textId="77777777" w:rsidTr="008578AD">
        <w:tc>
          <w:tcPr>
            <w:tcW w:w="988" w:type="dxa"/>
            <w:gridSpan w:val="2"/>
            <w:shd w:val="clear" w:color="auto" w:fill="D9D9D9"/>
          </w:tcPr>
          <w:p w14:paraId="1CC7B519" w14:textId="77777777" w:rsidR="00067CE7" w:rsidRPr="00241AF6" w:rsidRDefault="00067CE7" w:rsidP="00067CE7">
            <w:pPr>
              <w:rPr>
                <w:b/>
              </w:rPr>
            </w:pPr>
            <w:r w:rsidRPr="00241AF6">
              <w:rPr>
                <w:b/>
              </w:rPr>
              <w:t>Item 2</w:t>
            </w:r>
          </w:p>
        </w:tc>
        <w:tc>
          <w:tcPr>
            <w:tcW w:w="8255" w:type="dxa"/>
            <w:gridSpan w:val="8"/>
            <w:shd w:val="clear" w:color="auto" w:fill="D9D9D9"/>
          </w:tcPr>
          <w:p w14:paraId="347B3F8C" w14:textId="77777777" w:rsidR="00067CE7" w:rsidRPr="00241AF6" w:rsidRDefault="00067CE7" w:rsidP="00067CE7">
            <w:pPr>
              <w:rPr>
                <w:b/>
              </w:rPr>
            </w:pPr>
            <w:r w:rsidRPr="00241AF6">
              <w:rPr>
                <w:b/>
              </w:rPr>
              <w:t>For Decision</w:t>
            </w:r>
          </w:p>
        </w:tc>
      </w:tr>
      <w:tr w:rsidR="00067CE7" w:rsidRPr="00241AF6" w14:paraId="5F6C15E9" w14:textId="77777777" w:rsidTr="004922E4">
        <w:tc>
          <w:tcPr>
            <w:tcW w:w="9243" w:type="dxa"/>
            <w:gridSpan w:val="10"/>
            <w:shd w:val="clear" w:color="auto" w:fill="D9D9D9"/>
          </w:tcPr>
          <w:p w14:paraId="2E53C9A9" w14:textId="5E55A004" w:rsidR="00067CE7" w:rsidRPr="00241AF6" w:rsidRDefault="00067CE7" w:rsidP="007A514F">
            <w:pPr>
              <w:ind w:left="880" w:hanging="880"/>
              <w:rPr>
                <w:b/>
              </w:rPr>
            </w:pPr>
            <w:r w:rsidRPr="00241AF6">
              <w:rPr>
                <w:b/>
              </w:rPr>
              <w:t>Item 2.1:</w:t>
            </w:r>
            <w:r w:rsidR="007A514F">
              <w:rPr>
                <w:b/>
              </w:rPr>
              <w:t xml:space="preserve">  </w:t>
            </w:r>
            <w:r w:rsidR="008578AD" w:rsidRPr="002B4CDA">
              <w:rPr>
                <w:rFonts w:cs="Arial"/>
                <w:b/>
                <w:bCs/>
              </w:rPr>
              <w:t xml:space="preserve"> Annual Review of Committee Membership</w:t>
            </w:r>
          </w:p>
        </w:tc>
      </w:tr>
      <w:tr w:rsidR="00067CE7" w:rsidRPr="00241AF6" w14:paraId="4BE1745A" w14:textId="77777777" w:rsidTr="008578AD">
        <w:tc>
          <w:tcPr>
            <w:tcW w:w="988" w:type="dxa"/>
            <w:gridSpan w:val="2"/>
            <w:shd w:val="clear" w:color="auto" w:fill="auto"/>
          </w:tcPr>
          <w:p w14:paraId="50916A5A" w14:textId="77777777" w:rsidR="00067CE7" w:rsidRPr="00241AF6" w:rsidRDefault="00067CE7" w:rsidP="00067CE7">
            <w:pPr>
              <w:pStyle w:val="NoSpacing"/>
            </w:pPr>
            <w:r w:rsidRPr="00241AF6">
              <w:t>2.1</w:t>
            </w:r>
          </w:p>
        </w:tc>
        <w:tc>
          <w:tcPr>
            <w:tcW w:w="7227" w:type="dxa"/>
            <w:gridSpan w:val="5"/>
            <w:shd w:val="clear" w:color="auto" w:fill="auto"/>
          </w:tcPr>
          <w:p w14:paraId="3DB7DE31" w14:textId="352B65A5" w:rsidR="00124B6F" w:rsidRDefault="00124B6F" w:rsidP="00124B6F">
            <w:pPr>
              <w:pStyle w:val="NoSpacing"/>
            </w:pPr>
            <w:r>
              <w:t>The report was presented and taken as read</w:t>
            </w:r>
            <w:r w:rsidR="00E73217">
              <w:t>.</w:t>
            </w:r>
            <w:r>
              <w:t xml:space="preserve"> </w:t>
            </w:r>
          </w:p>
          <w:p w14:paraId="5B37D7D7" w14:textId="08602831" w:rsidR="000177EA" w:rsidRDefault="000177EA" w:rsidP="00124B6F">
            <w:pPr>
              <w:pStyle w:val="NoSpacing"/>
            </w:pPr>
          </w:p>
          <w:p w14:paraId="6BF289C2" w14:textId="3CC549A8" w:rsidR="000177EA" w:rsidRDefault="00E73217" w:rsidP="00124B6F">
            <w:pPr>
              <w:pStyle w:val="NoSpacing"/>
            </w:pPr>
            <w:r>
              <w:t>It was noted that a new vice-chair will need to be appointed as the current vice-chair has reached the maximum number of terms so will stand down at the close of the AGM in October 2023.</w:t>
            </w:r>
          </w:p>
          <w:p w14:paraId="3F573628" w14:textId="77A7930F" w:rsidR="00067CE7" w:rsidRDefault="00067CE7" w:rsidP="00067CE7">
            <w:pPr>
              <w:pStyle w:val="NoSpacing"/>
            </w:pPr>
          </w:p>
          <w:p w14:paraId="72C1AF44" w14:textId="1A27BE19" w:rsidR="00E73217" w:rsidRDefault="007C7E8D" w:rsidP="00067CE7">
            <w:pPr>
              <w:pStyle w:val="NoSpacing"/>
            </w:pPr>
            <w:r>
              <w:t xml:space="preserve">It was confirmed that a </w:t>
            </w:r>
            <w:r w:rsidR="00E73217">
              <w:t>Council appointed director can act as vice-chair. The frequency of change to Council appointed director</w:t>
            </w:r>
            <w:r w:rsidR="00FE37EA">
              <w:t>s</w:t>
            </w:r>
            <w:r w:rsidR="00E73217">
              <w:t xml:space="preserve"> was noted as a</w:t>
            </w:r>
            <w:r w:rsidR="00FE37EA">
              <w:t>n</w:t>
            </w:r>
            <w:r w:rsidR="00E73217">
              <w:t xml:space="preserve"> issue</w:t>
            </w:r>
            <w:r w:rsidR="00FE37EA">
              <w:t xml:space="preserve"> that could affect continuity.</w:t>
            </w:r>
          </w:p>
          <w:p w14:paraId="1F0DD5E3" w14:textId="77777777" w:rsidR="00FE37EA" w:rsidRDefault="00FE37EA" w:rsidP="00067CE7">
            <w:pPr>
              <w:pStyle w:val="NoSpacing"/>
            </w:pPr>
          </w:p>
          <w:p w14:paraId="0AD1FC73" w14:textId="4666CC01" w:rsidR="00FE37EA" w:rsidRDefault="00FE37EA" w:rsidP="00067CE7">
            <w:pPr>
              <w:pStyle w:val="NoSpacing"/>
            </w:pPr>
            <w:r>
              <w:t xml:space="preserve">A number of directors expressed an interest in becoming vice-chair. </w:t>
            </w:r>
          </w:p>
          <w:p w14:paraId="70AD269D" w14:textId="77777777" w:rsidR="00FE37EA" w:rsidRDefault="00FE37EA" w:rsidP="00067CE7">
            <w:pPr>
              <w:pStyle w:val="NoSpacing"/>
            </w:pPr>
          </w:p>
          <w:p w14:paraId="721570A5" w14:textId="3DAF5696" w:rsidR="00E73217" w:rsidRDefault="00E73217" w:rsidP="00067CE7">
            <w:pPr>
              <w:pStyle w:val="NoSpacing"/>
            </w:pPr>
          </w:p>
          <w:p w14:paraId="22E92C78" w14:textId="6DF69CE7" w:rsidR="007C7E8D" w:rsidRDefault="00FE37EA" w:rsidP="00067CE7">
            <w:pPr>
              <w:pStyle w:val="NoSpacing"/>
            </w:pPr>
            <w:r>
              <w:t>The rationale for the Audit and Risk committee appointments was discussed</w:t>
            </w:r>
            <w:r w:rsidR="007C7E8D">
              <w:t xml:space="preserve"> and it was agreed that the current membership would be reviewed in light of </w:t>
            </w:r>
            <w:proofErr w:type="gramStart"/>
            <w:r w:rsidR="007C7E8D">
              <w:t>directors</w:t>
            </w:r>
            <w:proofErr w:type="gramEnd"/>
            <w:r w:rsidR="007C7E8D">
              <w:t xml:space="preserve"> workloads</w:t>
            </w:r>
            <w:r>
              <w:t xml:space="preserve">. </w:t>
            </w:r>
          </w:p>
          <w:p w14:paraId="6AFD06D0" w14:textId="77777777" w:rsidR="007C7E8D" w:rsidRDefault="007C7E8D" w:rsidP="00067CE7">
            <w:pPr>
              <w:pStyle w:val="NoSpacing"/>
            </w:pPr>
          </w:p>
          <w:p w14:paraId="0A999495" w14:textId="665BCE0F" w:rsidR="00FE37EA" w:rsidRDefault="00FE37EA" w:rsidP="00067CE7">
            <w:pPr>
              <w:pStyle w:val="NoSpacing"/>
            </w:pPr>
            <w:r>
              <w:t xml:space="preserve">The Board noted that the current Terms of Reference state 6 Board Members are needed for each committee and as Audit and Risk currently have 5 Board members and 1 co-optee it does not meet the requirements of the Terms of Reference. Therefore, an additional Board member has been added </w:t>
            </w:r>
            <w:r w:rsidR="00447299">
              <w:t xml:space="preserve">effective </w:t>
            </w:r>
            <w:r>
              <w:t xml:space="preserve">from the October AGM. </w:t>
            </w:r>
            <w:r w:rsidR="00984D99">
              <w:t xml:space="preserve">There </w:t>
            </w:r>
            <w:r w:rsidR="00447299">
              <w:t xml:space="preserve">are </w:t>
            </w:r>
            <w:r w:rsidR="00984D99">
              <w:t>an equal number of Independent, Tenant and Council Appointed Board Members on each committee.</w:t>
            </w:r>
          </w:p>
          <w:p w14:paraId="551AA190" w14:textId="77777777" w:rsidR="007C7E8D" w:rsidRDefault="007C7E8D" w:rsidP="00067CE7">
            <w:pPr>
              <w:pStyle w:val="NoSpacing"/>
            </w:pPr>
          </w:p>
          <w:p w14:paraId="55315377" w14:textId="28EE32AB" w:rsidR="00984D99" w:rsidRDefault="00984D99" w:rsidP="00067CE7">
            <w:pPr>
              <w:pStyle w:val="NoSpacing"/>
            </w:pPr>
            <w:r>
              <w:t xml:space="preserve">A discussion was held on whether the </w:t>
            </w:r>
            <w:r w:rsidR="00447299">
              <w:t>c</w:t>
            </w:r>
            <w:r>
              <w:t xml:space="preserve">ommittee Terms of Reference and </w:t>
            </w:r>
            <w:r w:rsidR="00447299">
              <w:t>c</w:t>
            </w:r>
            <w:r>
              <w:t xml:space="preserve">ommittee </w:t>
            </w:r>
            <w:r w:rsidR="00447299">
              <w:t>m</w:t>
            </w:r>
            <w:r>
              <w:t>embership should be amended.</w:t>
            </w:r>
          </w:p>
          <w:p w14:paraId="2C88AA86" w14:textId="77777777" w:rsidR="007C7E8D" w:rsidRDefault="007C7E8D" w:rsidP="00067CE7">
            <w:pPr>
              <w:pStyle w:val="NoSpacing"/>
            </w:pPr>
          </w:p>
          <w:p w14:paraId="5B3EAA2E" w14:textId="79B4EA2D" w:rsidR="00984D99" w:rsidRDefault="00984D99" w:rsidP="00067CE7">
            <w:pPr>
              <w:pStyle w:val="NoSpacing"/>
            </w:pPr>
            <w:r>
              <w:t xml:space="preserve">It was noted that the assessment by an external specialist against the chosen code of governance will include a review of the </w:t>
            </w:r>
            <w:r w:rsidR="00447299">
              <w:t>c</w:t>
            </w:r>
            <w:r>
              <w:t>ommittees.</w:t>
            </w:r>
          </w:p>
          <w:p w14:paraId="7DC609AA" w14:textId="7DADC013" w:rsidR="007A514F" w:rsidRDefault="007A514F" w:rsidP="00067CE7">
            <w:pPr>
              <w:pStyle w:val="NoSpacing"/>
            </w:pPr>
          </w:p>
          <w:p w14:paraId="42DF41D6" w14:textId="77777777" w:rsidR="007A514F" w:rsidRDefault="006538A2" w:rsidP="00067CE7">
            <w:pPr>
              <w:pStyle w:val="NoSpacing"/>
              <w:rPr>
                <w:b/>
                <w:bCs/>
              </w:rPr>
            </w:pPr>
            <w:r>
              <w:rPr>
                <w:b/>
                <w:bCs/>
              </w:rPr>
              <w:t>The Boar</w:t>
            </w:r>
            <w:r w:rsidR="007A33E9">
              <w:rPr>
                <w:b/>
                <w:bCs/>
              </w:rPr>
              <w:t>d:</w:t>
            </w:r>
          </w:p>
          <w:p w14:paraId="059FB2B1" w14:textId="0A683365" w:rsidR="007A33E9" w:rsidRDefault="007A33E9" w:rsidP="007A33E9">
            <w:pPr>
              <w:pStyle w:val="NoSpacing"/>
              <w:numPr>
                <w:ilvl w:val="0"/>
                <w:numId w:val="30"/>
              </w:numPr>
              <w:rPr>
                <w:b/>
                <w:bCs/>
              </w:rPr>
            </w:pPr>
            <w:r>
              <w:rPr>
                <w:b/>
                <w:bCs/>
              </w:rPr>
              <w:t>Confirmed membership for committee</w:t>
            </w:r>
            <w:r w:rsidR="00984D99">
              <w:rPr>
                <w:b/>
                <w:bCs/>
              </w:rPr>
              <w:t>s</w:t>
            </w:r>
            <w:r>
              <w:rPr>
                <w:b/>
                <w:bCs/>
              </w:rPr>
              <w:t xml:space="preserve"> and appointments of Committee Chairs</w:t>
            </w:r>
            <w:r w:rsidR="00984D99">
              <w:rPr>
                <w:b/>
                <w:bCs/>
              </w:rPr>
              <w:t>.</w:t>
            </w:r>
          </w:p>
          <w:p w14:paraId="75A9EF4F" w14:textId="494EAFF5" w:rsidR="007C7E8D" w:rsidRPr="00683383" w:rsidRDefault="007A33E9" w:rsidP="00683383">
            <w:pPr>
              <w:pStyle w:val="NoSpacing"/>
              <w:numPr>
                <w:ilvl w:val="0"/>
                <w:numId w:val="30"/>
              </w:numPr>
              <w:rPr>
                <w:b/>
                <w:bCs/>
              </w:rPr>
            </w:pPr>
            <w:r>
              <w:rPr>
                <w:b/>
                <w:bCs/>
              </w:rPr>
              <w:t xml:space="preserve">Agreed that </w:t>
            </w:r>
            <w:r w:rsidR="00984D99">
              <w:rPr>
                <w:b/>
                <w:bCs/>
              </w:rPr>
              <w:t xml:space="preserve">a </w:t>
            </w:r>
            <w:r>
              <w:rPr>
                <w:b/>
                <w:bCs/>
              </w:rPr>
              <w:t xml:space="preserve">Vice Chair to the Board </w:t>
            </w:r>
            <w:r w:rsidR="00984D99">
              <w:rPr>
                <w:b/>
                <w:bCs/>
              </w:rPr>
              <w:t>would</w:t>
            </w:r>
            <w:r>
              <w:rPr>
                <w:b/>
                <w:bCs/>
              </w:rPr>
              <w:t xml:space="preserve"> be appointed at the </w:t>
            </w:r>
            <w:r w:rsidR="00984D99">
              <w:rPr>
                <w:b/>
                <w:bCs/>
              </w:rPr>
              <w:t>October 2023 Board Meeting</w:t>
            </w:r>
            <w:r w:rsidR="007C25E6">
              <w:rPr>
                <w:b/>
                <w:bCs/>
              </w:rPr>
              <w:t xml:space="preserve"> </w:t>
            </w:r>
          </w:p>
        </w:tc>
        <w:tc>
          <w:tcPr>
            <w:tcW w:w="1028" w:type="dxa"/>
            <w:gridSpan w:val="3"/>
            <w:shd w:val="clear" w:color="auto" w:fill="auto"/>
          </w:tcPr>
          <w:p w14:paraId="134EAA21" w14:textId="77777777" w:rsidR="00067CE7" w:rsidRPr="00241AF6" w:rsidRDefault="00067CE7" w:rsidP="00067CE7">
            <w:pPr>
              <w:pStyle w:val="NoSpacing"/>
            </w:pPr>
          </w:p>
        </w:tc>
      </w:tr>
      <w:tr w:rsidR="007A514F" w:rsidRPr="00241AF6" w14:paraId="20E19F4A" w14:textId="77777777" w:rsidTr="00224510">
        <w:tc>
          <w:tcPr>
            <w:tcW w:w="9243" w:type="dxa"/>
            <w:gridSpan w:val="10"/>
            <w:shd w:val="clear" w:color="auto" w:fill="D9D9D9"/>
          </w:tcPr>
          <w:p w14:paraId="218C5D3D" w14:textId="1ADDFBAC" w:rsidR="007A514F" w:rsidRPr="00241AF6" w:rsidRDefault="007A514F" w:rsidP="00067CE7">
            <w:pPr>
              <w:rPr>
                <w:b/>
              </w:rPr>
            </w:pPr>
            <w:r>
              <w:rPr>
                <w:b/>
              </w:rPr>
              <w:lastRenderedPageBreak/>
              <w:t>Item 2.2:  NPH Code of Governance</w:t>
            </w:r>
          </w:p>
        </w:tc>
      </w:tr>
      <w:tr w:rsidR="007A514F" w:rsidRPr="00241AF6" w14:paraId="2C633907" w14:textId="31C4889C" w:rsidTr="008578AD">
        <w:tc>
          <w:tcPr>
            <w:tcW w:w="1001" w:type="dxa"/>
            <w:gridSpan w:val="3"/>
            <w:shd w:val="clear" w:color="auto" w:fill="auto"/>
          </w:tcPr>
          <w:p w14:paraId="2FD57E83" w14:textId="38AE4FF5" w:rsidR="007A514F" w:rsidRPr="007A514F" w:rsidRDefault="007A514F" w:rsidP="00067CE7">
            <w:pPr>
              <w:rPr>
                <w:bCs/>
              </w:rPr>
            </w:pPr>
            <w:r w:rsidRPr="007A514F">
              <w:rPr>
                <w:bCs/>
              </w:rPr>
              <w:t>2.2</w:t>
            </w:r>
          </w:p>
        </w:tc>
        <w:tc>
          <w:tcPr>
            <w:tcW w:w="7214" w:type="dxa"/>
            <w:gridSpan w:val="4"/>
            <w:shd w:val="clear" w:color="auto" w:fill="auto"/>
          </w:tcPr>
          <w:p w14:paraId="5AB50C37" w14:textId="50A09717" w:rsidR="00124B6F" w:rsidRDefault="00124B6F" w:rsidP="00124B6F">
            <w:pPr>
              <w:pStyle w:val="NoSpacing"/>
            </w:pPr>
            <w:r>
              <w:t xml:space="preserve">The report was taken as read. </w:t>
            </w:r>
          </w:p>
          <w:p w14:paraId="7420561D" w14:textId="179491A5" w:rsidR="001C1B78" w:rsidRDefault="001C1B78" w:rsidP="00124B6F">
            <w:pPr>
              <w:pStyle w:val="NoSpacing"/>
            </w:pPr>
          </w:p>
          <w:p w14:paraId="39A42B34" w14:textId="44AFDB66" w:rsidR="001C1B78" w:rsidRDefault="001C1B78" w:rsidP="00124B6F">
            <w:pPr>
              <w:pStyle w:val="NoSpacing"/>
            </w:pPr>
            <w:r>
              <w:t xml:space="preserve">The rationale for adopting a code of governance was discussed. </w:t>
            </w:r>
          </w:p>
          <w:p w14:paraId="2980B4F8" w14:textId="27482B67" w:rsidR="001C1B78" w:rsidRDefault="001C1B78" w:rsidP="00124B6F">
            <w:pPr>
              <w:pStyle w:val="NoSpacing"/>
            </w:pPr>
            <w:r>
              <w:t>The Board noted that as an organisation that is funded by public sector funding, NPH should be demonstrating a high standard of service and it is therefore recommended that NPH adopt an appropriate code of governance.</w:t>
            </w:r>
          </w:p>
          <w:p w14:paraId="29C13BA7" w14:textId="77777777" w:rsidR="00C132B5" w:rsidRDefault="00C132B5" w:rsidP="00124B6F">
            <w:pPr>
              <w:pStyle w:val="NoSpacing"/>
            </w:pPr>
          </w:p>
          <w:p w14:paraId="16B5C545" w14:textId="649F7AE4" w:rsidR="001C1B78" w:rsidRDefault="001C1B78" w:rsidP="00124B6F">
            <w:pPr>
              <w:pStyle w:val="NoSpacing"/>
            </w:pPr>
            <w:r>
              <w:t>The Board discussed the different options and agreed that the National Housing Federation (NHF) Code of Governance 2020 would be the most suitable.</w:t>
            </w:r>
          </w:p>
          <w:p w14:paraId="3E60D378" w14:textId="553A6820" w:rsidR="001C1B78" w:rsidRDefault="001C1B78" w:rsidP="00124B6F">
            <w:pPr>
              <w:pStyle w:val="NoSpacing"/>
            </w:pPr>
            <w:r>
              <w:t>The need to appoint an external consultant or use internal resources to conduct a gap analysis against the chosen code and formulate an action plan w</w:t>
            </w:r>
            <w:r w:rsidR="00447299">
              <w:t>ere</w:t>
            </w:r>
            <w:r>
              <w:t xml:space="preserve"> discussed. The benefits of both were considered and it was agreed that an external consultant would provide a fresh review of NPH governance and bring a different perspective than an internal person or audit would do.</w:t>
            </w:r>
          </w:p>
          <w:p w14:paraId="38C2AD6D" w14:textId="77777777" w:rsidR="00C132B5" w:rsidRDefault="00C132B5" w:rsidP="00124B6F">
            <w:pPr>
              <w:pStyle w:val="NoSpacing"/>
            </w:pPr>
          </w:p>
          <w:p w14:paraId="04F090F0" w14:textId="146026C2" w:rsidR="001C1B78" w:rsidRDefault="008A106E" w:rsidP="00124B6F">
            <w:pPr>
              <w:pStyle w:val="NoSpacing"/>
            </w:pPr>
            <w:r>
              <w:t>The Board agreed that aspiring to a higher standard would fit in with the increasing regulation standards requirements</w:t>
            </w:r>
            <w:r w:rsidR="00FA447D">
              <w:t xml:space="preserve"> from April 2024. It was acknowledged that NPH will need to provide assurance to West Northamptonshire Council (WNC) that it is meeting the relevant parts of the new standards and that good governance is essential to ensure compliance.</w:t>
            </w:r>
          </w:p>
          <w:p w14:paraId="26B4C8D4" w14:textId="77777777" w:rsidR="00C132B5" w:rsidRDefault="00C132B5" w:rsidP="00124B6F">
            <w:pPr>
              <w:pStyle w:val="NoSpacing"/>
              <w:rPr>
                <w:b/>
                <w:bCs/>
              </w:rPr>
            </w:pPr>
          </w:p>
          <w:p w14:paraId="550FB422" w14:textId="1F8404B1" w:rsidR="008A106E" w:rsidRPr="00A143F2" w:rsidRDefault="00A143F2" w:rsidP="00124B6F">
            <w:pPr>
              <w:pStyle w:val="NoSpacing"/>
            </w:pPr>
            <w:r w:rsidRPr="00A143F2">
              <w:rPr>
                <w:b/>
                <w:bCs/>
              </w:rPr>
              <w:t>Action:</w:t>
            </w:r>
            <w:r>
              <w:rPr>
                <w:b/>
                <w:bCs/>
              </w:rPr>
              <w:t xml:space="preserve"> </w:t>
            </w:r>
            <w:r w:rsidRPr="00A143F2">
              <w:t xml:space="preserve">SF to </w:t>
            </w:r>
            <w:r>
              <w:t>lead on</w:t>
            </w:r>
            <w:r w:rsidRPr="00A143F2">
              <w:t xml:space="preserve"> the appointment of an external consultant to undertake the assessment of NPH’s governance against the NHF code and develop a Board Development Plan.</w:t>
            </w:r>
          </w:p>
          <w:p w14:paraId="2FE14D6C" w14:textId="77777777" w:rsidR="00A143F2" w:rsidRDefault="00A143F2" w:rsidP="00124B6F">
            <w:pPr>
              <w:pStyle w:val="NoSpacing"/>
            </w:pPr>
          </w:p>
          <w:p w14:paraId="20C72A71" w14:textId="6C9A53D0" w:rsidR="007A514F" w:rsidRDefault="006538A2" w:rsidP="007A514F">
            <w:pPr>
              <w:spacing w:after="0"/>
              <w:rPr>
                <w:b/>
              </w:rPr>
            </w:pPr>
            <w:r>
              <w:rPr>
                <w:b/>
              </w:rPr>
              <w:t>The Boar</w:t>
            </w:r>
            <w:r w:rsidR="00FA447D">
              <w:rPr>
                <w:b/>
              </w:rPr>
              <w:t>d:</w:t>
            </w:r>
          </w:p>
          <w:p w14:paraId="778E3996" w14:textId="58737CD1" w:rsidR="00FA447D" w:rsidRDefault="00FA447D" w:rsidP="00FA447D">
            <w:pPr>
              <w:pStyle w:val="NoSpacing"/>
              <w:numPr>
                <w:ilvl w:val="0"/>
                <w:numId w:val="30"/>
              </w:numPr>
              <w:rPr>
                <w:b/>
              </w:rPr>
            </w:pPr>
            <w:r>
              <w:rPr>
                <w:b/>
              </w:rPr>
              <w:t>Approved the adoption of the NHF Code of Governance 2020, subject to</w:t>
            </w:r>
            <w:r w:rsidR="00447299">
              <w:rPr>
                <w:b/>
              </w:rPr>
              <w:t>,</w:t>
            </w:r>
            <w:r>
              <w:rPr>
                <w:b/>
              </w:rPr>
              <w:t xml:space="preserve"> </w:t>
            </w:r>
          </w:p>
          <w:p w14:paraId="6F6A179D" w14:textId="3B9960D8" w:rsidR="00FA447D" w:rsidRDefault="00FA447D" w:rsidP="00FA447D">
            <w:pPr>
              <w:pStyle w:val="NoSpacing"/>
              <w:numPr>
                <w:ilvl w:val="0"/>
                <w:numId w:val="30"/>
              </w:numPr>
              <w:rPr>
                <w:b/>
              </w:rPr>
            </w:pPr>
            <w:r>
              <w:rPr>
                <w:b/>
              </w:rPr>
              <w:t xml:space="preserve">Engagement of an external specialist to undertake an assessment of NPH’s governance against the NHF code and develop a Board Development Plan. </w:t>
            </w:r>
          </w:p>
          <w:p w14:paraId="46DBB11F" w14:textId="7CA44B8F" w:rsidR="00F31B22" w:rsidRPr="00241AF6" w:rsidRDefault="00F31B22" w:rsidP="007A514F">
            <w:pPr>
              <w:spacing w:after="0"/>
              <w:rPr>
                <w:b/>
              </w:rPr>
            </w:pPr>
          </w:p>
        </w:tc>
        <w:tc>
          <w:tcPr>
            <w:tcW w:w="1028" w:type="dxa"/>
            <w:gridSpan w:val="3"/>
            <w:shd w:val="clear" w:color="auto" w:fill="auto"/>
          </w:tcPr>
          <w:p w14:paraId="5BB99E50" w14:textId="77777777" w:rsidR="007A514F" w:rsidRPr="00241AF6" w:rsidRDefault="007A514F" w:rsidP="00067CE7">
            <w:pPr>
              <w:rPr>
                <w:b/>
              </w:rPr>
            </w:pPr>
          </w:p>
        </w:tc>
      </w:tr>
      <w:tr w:rsidR="007A514F" w:rsidRPr="00241AF6" w14:paraId="0218981D" w14:textId="77777777" w:rsidTr="00224510">
        <w:tc>
          <w:tcPr>
            <w:tcW w:w="9243" w:type="dxa"/>
            <w:gridSpan w:val="10"/>
            <w:shd w:val="clear" w:color="auto" w:fill="D9D9D9"/>
          </w:tcPr>
          <w:p w14:paraId="36414C4B" w14:textId="1750D99F" w:rsidR="007A514F" w:rsidRPr="00241AF6" w:rsidRDefault="007A514F" w:rsidP="00067CE7">
            <w:pPr>
              <w:rPr>
                <w:b/>
              </w:rPr>
            </w:pPr>
            <w:r>
              <w:rPr>
                <w:b/>
              </w:rPr>
              <w:t>Item 2.3:  NPH Risk Management Strategy Review 2023-26</w:t>
            </w:r>
          </w:p>
        </w:tc>
      </w:tr>
      <w:tr w:rsidR="007A514F" w:rsidRPr="00241AF6" w14:paraId="6A02D5E4" w14:textId="6B816369" w:rsidTr="008578AD">
        <w:tc>
          <w:tcPr>
            <w:tcW w:w="988" w:type="dxa"/>
            <w:gridSpan w:val="2"/>
            <w:shd w:val="clear" w:color="auto" w:fill="auto"/>
          </w:tcPr>
          <w:p w14:paraId="09CBC9A1" w14:textId="32A0853F" w:rsidR="007A514F" w:rsidRPr="007A514F" w:rsidRDefault="007A514F" w:rsidP="00067CE7">
            <w:pPr>
              <w:rPr>
                <w:bCs/>
              </w:rPr>
            </w:pPr>
            <w:r w:rsidRPr="007A514F">
              <w:rPr>
                <w:bCs/>
              </w:rPr>
              <w:t>2.3</w:t>
            </w:r>
          </w:p>
        </w:tc>
        <w:tc>
          <w:tcPr>
            <w:tcW w:w="7227" w:type="dxa"/>
            <w:gridSpan w:val="5"/>
            <w:shd w:val="clear" w:color="auto" w:fill="auto"/>
          </w:tcPr>
          <w:p w14:paraId="3EE0DEB0" w14:textId="3CB971A9" w:rsidR="00124B6F" w:rsidRDefault="00124B6F" w:rsidP="00124B6F">
            <w:pPr>
              <w:pStyle w:val="NoSpacing"/>
            </w:pPr>
            <w:r>
              <w:t xml:space="preserve">The report was taken as read. </w:t>
            </w:r>
          </w:p>
          <w:p w14:paraId="026D7342" w14:textId="77777777" w:rsidR="004405B9" w:rsidRDefault="004405B9" w:rsidP="00124B6F">
            <w:pPr>
              <w:pStyle w:val="NoSpacing"/>
            </w:pPr>
          </w:p>
          <w:p w14:paraId="3D7A81CA" w14:textId="206B165B" w:rsidR="004405B9" w:rsidRDefault="004405B9" w:rsidP="004405B9">
            <w:pPr>
              <w:pStyle w:val="NoSpacing"/>
              <w:rPr>
                <w:bCs/>
              </w:rPr>
            </w:pPr>
            <w:r w:rsidRPr="004405B9">
              <w:t>T</w:t>
            </w:r>
            <w:r>
              <w:rPr>
                <w:bCs/>
              </w:rPr>
              <w:t xml:space="preserve">he Board considered the </w:t>
            </w:r>
            <w:r w:rsidR="001825E9">
              <w:rPr>
                <w:bCs/>
              </w:rPr>
              <w:t>Risk Management Strategy including the amendments, changes to approach and action plan.</w:t>
            </w:r>
          </w:p>
          <w:p w14:paraId="5562FD0A" w14:textId="77777777" w:rsidR="00C132B5" w:rsidRDefault="00C132B5" w:rsidP="007248BB">
            <w:pPr>
              <w:spacing w:after="0"/>
              <w:rPr>
                <w:bCs/>
              </w:rPr>
            </w:pPr>
          </w:p>
          <w:p w14:paraId="7598BBEB" w14:textId="14FADC98" w:rsidR="004405B9" w:rsidRDefault="001825E9" w:rsidP="004405B9">
            <w:pPr>
              <w:rPr>
                <w:bCs/>
              </w:rPr>
            </w:pPr>
            <w:r>
              <w:rPr>
                <w:bCs/>
              </w:rPr>
              <w:t>The Board asked how the new policy will be communicated across the organisation. It was confirmed that the new policy will be uploaded to the intranet and an internal communication sent to staff. It will also be</w:t>
            </w:r>
            <w:r w:rsidR="009133D2">
              <w:rPr>
                <w:bCs/>
              </w:rPr>
              <w:t xml:space="preserve"> available </w:t>
            </w:r>
            <w:r>
              <w:rPr>
                <w:bCs/>
              </w:rPr>
              <w:t>on the</w:t>
            </w:r>
            <w:r w:rsidR="009133D2">
              <w:rPr>
                <w:bCs/>
              </w:rPr>
              <w:t xml:space="preserve"> strategy bookcase </w:t>
            </w:r>
            <w:r>
              <w:rPr>
                <w:bCs/>
              </w:rPr>
              <w:t xml:space="preserve">and </w:t>
            </w:r>
            <w:r w:rsidR="009133D2">
              <w:rPr>
                <w:bCs/>
              </w:rPr>
              <w:t xml:space="preserve">on </w:t>
            </w:r>
            <w:r>
              <w:rPr>
                <w:bCs/>
              </w:rPr>
              <w:t>the C</w:t>
            </w:r>
            <w:r w:rsidR="009133D2">
              <w:rPr>
                <w:bCs/>
              </w:rPr>
              <w:t>onvene document libra</w:t>
            </w:r>
            <w:r w:rsidR="004405B9">
              <w:rPr>
                <w:bCs/>
              </w:rPr>
              <w:t>ry</w:t>
            </w:r>
            <w:r>
              <w:rPr>
                <w:bCs/>
              </w:rPr>
              <w:t xml:space="preserve"> for Board.</w:t>
            </w:r>
          </w:p>
          <w:p w14:paraId="3F0E2264" w14:textId="491ABA09" w:rsidR="00B915C8" w:rsidRPr="007A514F" w:rsidRDefault="006538A2" w:rsidP="004405B9">
            <w:pPr>
              <w:rPr>
                <w:b/>
              </w:rPr>
            </w:pPr>
            <w:r>
              <w:rPr>
                <w:b/>
              </w:rPr>
              <w:lastRenderedPageBreak/>
              <w:t xml:space="preserve">The Board approved the updated Risk </w:t>
            </w:r>
            <w:r w:rsidR="00BA66DE">
              <w:rPr>
                <w:b/>
              </w:rPr>
              <w:t>M</w:t>
            </w:r>
            <w:r>
              <w:rPr>
                <w:b/>
              </w:rPr>
              <w:t>anagement Strategy 2023-26</w:t>
            </w:r>
          </w:p>
        </w:tc>
        <w:tc>
          <w:tcPr>
            <w:tcW w:w="1028" w:type="dxa"/>
            <w:gridSpan w:val="3"/>
            <w:shd w:val="clear" w:color="auto" w:fill="auto"/>
          </w:tcPr>
          <w:p w14:paraId="5DCF9E97" w14:textId="77777777" w:rsidR="007A514F" w:rsidRPr="00241AF6" w:rsidRDefault="007A514F" w:rsidP="00067CE7">
            <w:pPr>
              <w:rPr>
                <w:b/>
              </w:rPr>
            </w:pPr>
          </w:p>
        </w:tc>
      </w:tr>
      <w:tr w:rsidR="00067CE7" w:rsidRPr="00241AF6" w14:paraId="6F49C980" w14:textId="77777777" w:rsidTr="00224510">
        <w:tc>
          <w:tcPr>
            <w:tcW w:w="9243" w:type="dxa"/>
            <w:gridSpan w:val="10"/>
            <w:shd w:val="clear" w:color="auto" w:fill="D9D9D9"/>
          </w:tcPr>
          <w:p w14:paraId="23397BA9" w14:textId="4949466F" w:rsidR="00067CE7" w:rsidRPr="00241AF6" w:rsidRDefault="00067CE7" w:rsidP="00067CE7">
            <w:pPr>
              <w:rPr>
                <w:b/>
              </w:rPr>
            </w:pPr>
            <w:r w:rsidRPr="00241AF6">
              <w:rPr>
                <w:b/>
              </w:rPr>
              <w:t>Item 2.</w:t>
            </w:r>
            <w:r w:rsidR="007A514F">
              <w:rPr>
                <w:b/>
              </w:rPr>
              <w:t>4</w:t>
            </w:r>
            <w:r w:rsidRPr="00241AF6">
              <w:rPr>
                <w:b/>
              </w:rPr>
              <w:t>:</w:t>
            </w:r>
            <w:r w:rsidR="007A514F">
              <w:rPr>
                <w:b/>
              </w:rPr>
              <w:t xml:space="preserve">  </w:t>
            </w:r>
            <w:r w:rsidR="008578AD" w:rsidRPr="009F2DC4">
              <w:rPr>
                <w:rFonts w:cs="Arial"/>
                <w:b/>
                <w:bCs/>
              </w:rPr>
              <w:t xml:space="preserve"> Contract for Garage Infill Sites (Lot 2)</w:t>
            </w:r>
          </w:p>
        </w:tc>
      </w:tr>
      <w:tr w:rsidR="00067CE7" w:rsidRPr="00241AF6" w14:paraId="7FADCD4D" w14:textId="77777777" w:rsidTr="008578AD">
        <w:tc>
          <w:tcPr>
            <w:tcW w:w="988" w:type="dxa"/>
            <w:gridSpan w:val="2"/>
            <w:shd w:val="clear" w:color="auto" w:fill="auto"/>
          </w:tcPr>
          <w:p w14:paraId="7CC41BCC" w14:textId="37BB730B" w:rsidR="00067CE7" w:rsidRPr="00241AF6" w:rsidRDefault="007A514F" w:rsidP="00067CE7">
            <w:pPr>
              <w:pStyle w:val="NoSpacing"/>
              <w:rPr>
                <w:color w:val="000000"/>
              </w:rPr>
            </w:pPr>
            <w:r>
              <w:rPr>
                <w:color w:val="000000"/>
              </w:rPr>
              <w:t>2.4</w:t>
            </w:r>
          </w:p>
        </w:tc>
        <w:tc>
          <w:tcPr>
            <w:tcW w:w="7227" w:type="dxa"/>
            <w:gridSpan w:val="5"/>
            <w:tcBorders>
              <w:bottom w:val="single" w:sz="4" w:space="0" w:color="auto"/>
            </w:tcBorders>
            <w:shd w:val="clear" w:color="auto" w:fill="auto"/>
          </w:tcPr>
          <w:p w14:paraId="1D130083" w14:textId="6917E247" w:rsidR="00124B6F" w:rsidRDefault="00124B6F" w:rsidP="00124B6F">
            <w:pPr>
              <w:pStyle w:val="NoSpacing"/>
            </w:pPr>
            <w:r>
              <w:t xml:space="preserve">The report was taken as read. </w:t>
            </w:r>
          </w:p>
          <w:p w14:paraId="47E1C192" w14:textId="77777777" w:rsidR="00C132B5" w:rsidRDefault="00C132B5" w:rsidP="00067CE7">
            <w:pPr>
              <w:pStyle w:val="NoSpacing"/>
            </w:pPr>
          </w:p>
          <w:p w14:paraId="6FB59E87" w14:textId="656752D6" w:rsidR="00067CE7" w:rsidRDefault="001825E9" w:rsidP="00067CE7">
            <w:pPr>
              <w:pStyle w:val="NoSpacing"/>
            </w:pPr>
            <w:r>
              <w:t>The Board discussed the recommendation to approve the award of a JCT 2016 Design and Build Contract to A. Ainge &amp; Sons Ltd for the construction of 18 new homes at Garage Infill Sites across Northampton.</w:t>
            </w:r>
          </w:p>
          <w:p w14:paraId="7A106CF0" w14:textId="77777777" w:rsidR="001825E9" w:rsidRDefault="001825E9" w:rsidP="00067CE7">
            <w:pPr>
              <w:pStyle w:val="NoSpacing"/>
            </w:pPr>
          </w:p>
          <w:p w14:paraId="7EE14630" w14:textId="77777777" w:rsidR="001825E9" w:rsidRDefault="001825E9" w:rsidP="00067CE7">
            <w:pPr>
              <w:pStyle w:val="NoSpacing"/>
            </w:pPr>
            <w:r>
              <w:t>The Board queried what the mix of house types would be for these developments.</w:t>
            </w:r>
          </w:p>
          <w:p w14:paraId="0147A71E" w14:textId="77777777" w:rsidR="001825E9" w:rsidRDefault="001825E9" w:rsidP="00067CE7">
            <w:pPr>
              <w:pStyle w:val="NoSpacing"/>
            </w:pPr>
            <w:r>
              <w:t>The following mix was advised:</w:t>
            </w:r>
          </w:p>
          <w:p w14:paraId="184BD481" w14:textId="77777777" w:rsidR="00C05EA3" w:rsidRDefault="001825E9" w:rsidP="00067CE7">
            <w:pPr>
              <w:pStyle w:val="NoSpacing"/>
            </w:pPr>
            <w:r>
              <w:t xml:space="preserve">Montague Crescent – 3 x 2 bed 3 person Bungalows/ </w:t>
            </w:r>
            <w:r w:rsidR="00C05EA3">
              <w:t>3 x 4 bed 6 person Houses/ 2 x 3 bed 5 person Houses = 8 properties</w:t>
            </w:r>
          </w:p>
          <w:p w14:paraId="43E1797E" w14:textId="77777777" w:rsidR="00C05EA3" w:rsidRDefault="00C05EA3" w:rsidP="00067CE7">
            <w:pPr>
              <w:pStyle w:val="NoSpacing"/>
            </w:pPr>
            <w:r>
              <w:t>Ringway – 6 x 4 bed 6 person Houses = 6 properties</w:t>
            </w:r>
          </w:p>
          <w:p w14:paraId="34A200E6" w14:textId="77777777" w:rsidR="00C05EA3" w:rsidRDefault="00C05EA3" w:rsidP="00067CE7">
            <w:pPr>
              <w:pStyle w:val="NoSpacing"/>
            </w:pPr>
            <w:r>
              <w:t>Stanley Road – 3 x 3 bed 5 person houses – 3 properties</w:t>
            </w:r>
          </w:p>
          <w:p w14:paraId="449FAE94" w14:textId="77777777" w:rsidR="00C05EA3" w:rsidRDefault="00C05EA3" w:rsidP="00067CE7">
            <w:pPr>
              <w:pStyle w:val="NoSpacing"/>
            </w:pPr>
            <w:r>
              <w:t>Wessex Way – 1 x 4 bed 6 person houses = 1 property</w:t>
            </w:r>
          </w:p>
          <w:p w14:paraId="71C27043" w14:textId="77777777" w:rsidR="00C05EA3" w:rsidRDefault="00C05EA3" w:rsidP="00067CE7">
            <w:pPr>
              <w:pStyle w:val="NoSpacing"/>
            </w:pPr>
            <w:r>
              <w:t>Total = 18 properties over 4 development sites</w:t>
            </w:r>
          </w:p>
          <w:p w14:paraId="509D66C4" w14:textId="53C2C312" w:rsidR="00AA0AFD" w:rsidRDefault="001825E9" w:rsidP="00067CE7">
            <w:pPr>
              <w:pStyle w:val="NoSpacing"/>
            </w:pPr>
            <w:r>
              <w:t xml:space="preserve"> </w:t>
            </w:r>
          </w:p>
          <w:p w14:paraId="4C815661" w14:textId="48D83EF0" w:rsidR="00C05EA3" w:rsidRDefault="00C05EA3" w:rsidP="00067CE7">
            <w:pPr>
              <w:pStyle w:val="NoSpacing"/>
            </w:pPr>
            <w:r>
              <w:t>The Board queried whether the lead in period of 8 weeks is achievable and noted that the contractor is local.</w:t>
            </w:r>
          </w:p>
          <w:p w14:paraId="3BBE8901" w14:textId="4BDB565A" w:rsidR="00C05EA3" w:rsidRDefault="00C05EA3" w:rsidP="00067CE7">
            <w:pPr>
              <w:pStyle w:val="NoSpacing"/>
            </w:pPr>
            <w:r>
              <w:t>It was confirmed that the contractor will take 8 weeks to mobilise once the contract has been signed and that NPH endeavour to support local businesses.</w:t>
            </w:r>
          </w:p>
          <w:p w14:paraId="38484E5E" w14:textId="77777777" w:rsidR="00C132B5" w:rsidRDefault="00C132B5" w:rsidP="00067CE7">
            <w:pPr>
              <w:pStyle w:val="NoSpacing"/>
            </w:pPr>
          </w:p>
          <w:p w14:paraId="22EDF62D" w14:textId="3ACBD21C" w:rsidR="00C05EA3" w:rsidRDefault="00A143F2" w:rsidP="00067CE7">
            <w:pPr>
              <w:pStyle w:val="NoSpacing"/>
            </w:pPr>
            <w:r>
              <w:t>The Board queried if electric car charge points and Photovoltaic panels will be included in these developments</w:t>
            </w:r>
            <w:r w:rsidR="00BA66DE">
              <w:t>.</w:t>
            </w:r>
          </w:p>
          <w:p w14:paraId="3B40FF23" w14:textId="58AF953E" w:rsidR="00C05EA3" w:rsidRDefault="00A143F2" w:rsidP="00067CE7">
            <w:pPr>
              <w:pStyle w:val="NoSpacing"/>
            </w:pPr>
            <w:r>
              <w:t>It was confirmed that electric car charge points will be included.</w:t>
            </w:r>
          </w:p>
          <w:p w14:paraId="394F1B62" w14:textId="77777777" w:rsidR="00C132B5" w:rsidRDefault="00C132B5" w:rsidP="00067CE7">
            <w:pPr>
              <w:pStyle w:val="NoSpacing"/>
              <w:rPr>
                <w:b/>
                <w:bCs/>
              </w:rPr>
            </w:pPr>
          </w:p>
          <w:p w14:paraId="62FD528C" w14:textId="48F34FF4" w:rsidR="00A143F2" w:rsidRPr="00A143F2" w:rsidRDefault="00A143F2" w:rsidP="00067CE7">
            <w:pPr>
              <w:pStyle w:val="NoSpacing"/>
              <w:rPr>
                <w:b/>
                <w:bCs/>
              </w:rPr>
            </w:pPr>
            <w:r w:rsidRPr="00A143F2">
              <w:rPr>
                <w:b/>
                <w:bCs/>
              </w:rPr>
              <w:t xml:space="preserve">Action: </w:t>
            </w:r>
            <w:r w:rsidRPr="00A143F2">
              <w:t>OO to confirm if Photovoltaic panels will be included in the Garage Infill Sites (Lot 2) developments.</w:t>
            </w:r>
          </w:p>
          <w:p w14:paraId="5C8E3924" w14:textId="0FD801A7" w:rsidR="007A514F" w:rsidRDefault="007A514F" w:rsidP="00067CE7">
            <w:pPr>
              <w:pStyle w:val="NoSpacing"/>
            </w:pPr>
          </w:p>
          <w:p w14:paraId="29E117BE" w14:textId="35AA52EF" w:rsidR="00A143F2" w:rsidRDefault="00A143F2" w:rsidP="00067CE7">
            <w:pPr>
              <w:pStyle w:val="NoSpacing"/>
            </w:pPr>
            <w:r>
              <w:t>The Board queried whether there is enough head room buil</w:t>
            </w:r>
            <w:r w:rsidR="00BA66DE">
              <w:t>t</w:t>
            </w:r>
            <w:r>
              <w:t xml:space="preserve"> into the budget to accommodate future cost increases.</w:t>
            </w:r>
            <w:r w:rsidR="00C132B5">
              <w:t xml:space="preserve"> I</w:t>
            </w:r>
            <w:r>
              <w:t>t was confirmed that there is a contingency of between 5% and 10% to allow for construction cost increases. The Design and Build contract mitigates cost increases as the risk sits with the contractor rather than NPH. A robust set of requirements have been built into the contract and it is not expected that there will be major variations.</w:t>
            </w:r>
          </w:p>
          <w:p w14:paraId="67A79C8B" w14:textId="242D79A8" w:rsidR="00986F01" w:rsidRDefault="00986F01" w:rsidP="00067CE7">
            <w:pPr>
              <w:pStyle w:val="NoSpacing"/>
            </w:pPr>
          </w:p>
          <w:p w14:paraId="61813D76" w14:textId="11A4F236" w:rsidR="00052101" w:rsidRDefault="00052101" w:rsidP="00067CE7">
            <w:pPr>
              <w:pStyle w:val="NoSpacing"/>
            </w:pPr>
            <w:r>
              <w:t>A discussion was held on the density of houses that are achievable for different types of sites. It was noted that the Local Authority Planning Policy is key as this drives the density and type of development allowed for each individual site. It is impossible to give a definitive number as each piece of land has many variables attached.</w:t>
            </w:r>
          </w:p>
          <w:p w14:paraId="6B25B4E0" w14:textId="77777777" w:rsidR="007A514F" w:rsidRDefault="006538A2" w:rsidP="00067CE7">
            <w:pPr>
              <w:pStyle w:val="NoSpacing"/>
              <w:rPr>
                <w:rFonts w:asciiTheme="minorHAnsi" w:hAnsiTheme="minorHAnsi" w:cstheme="minorHAnsi"/>
                <w:b/>
                <w:bCs/>
              </w:rPr>
            </w:pPr>
            <w:r>
              <w:rPr>
                <w:b/>
                <w:bCs/>
              </w:rPr>
              <w:t>The Board</w:t>
            </w:r>
            <w:r>
              <w:rPr>
                <w:rFonts w:ascii="Arial" w:hAnsi="Arial" w:cs="Arial"/>
              </w:rPr>
              <w:t xml:space="preserve"> </w:t>
            </w:r>
            <w:r w:rsidRPr="006538A2">
              <w:rPr>
                <w:rFonts w:asciiTheme="minorHAnsi" w:hAnsiTheme="minorHAnsi" w:cstheme="minorHAnsi"/>
                <w:b/>
                <w:bCs/>
              </w:rPr>
              <w:t>approve</w:t>
            </w:r>
            <w:r>
              <w:rPr>
                <w:rFonts w:asciiTheme="minorHAnsi" w:hAnsiTheme="minorHAnsi" w:cstheme="minorHAnsi"/>
                <w:b/>
                <w:bCs/>
              </w:rPr>
              <w:t>d</w:t>
            </w:r>
            <w:r w:rsidRPr="006538A2">
              <w:rPr>
                <w:rFonts w:asciiTheme="minorHAnsi" w:hAnsiTheme="minorHAnsi" w:cstheme="minorHAnsi"/>
                <w:b/>
                <w:bCs/>
              </w:rPr>
              <w:t xml:space="preserve"> use of the common seal and delegate</w:t>
            </w:r>
            <w:r>
              <w:rPr>
                <w:rFonts w:asciiTheme="minorHAnsi" w:hAnsiTheme="minorHAnsi" w:cstheme="minorHAnsi"/>
                <w:b/>
                <w:bCs/>
              </w:rPr>
              <w:t>d</w:t>
            </w:r>
            <w:r w:rsidRPr="006538A2">
              <w:rPr>
                <w:rFonts w:asciiTheme="minorHAnsi" w:hAnsiTheme="minorHAnsi" w:cstheme="minorHAnsi"/>
                <w:b/>
                <w:bCs/>
              </w:rPr>
              <w:t xml:space="preserve"> authority to two Board members to sign a JCT 2016 Design and Build Contract for the design </w:t>
            </w:r>
            <w:r w:rsidRPr="006538A2">
              <w:rPr>
                <w:rFonts w:asciiTheme="minorHAnsi" w:hAnsiTheme="minorHAnsi" w:cstheme="minorHAnsi"/>
                <w:b/>
                <w:bCs/>
              </w:rPr>
              <w:lastRenderedPageBreak/>
              <w:t xml:space="preserve">and construction of 18 homes with </w:t>
            </w:r>
            <w:proofErr w:type="gramStart"/>
            <w:r w:rsidRPr="006538A2">
              <w:rPr>
                <w:rFonts w:asciiTheme="minorHAnsi" w:hAnsiTheme="minorHAnsi" w:cstheme="minorHAnsi"/>
                <w:b/>
                <w:bCs/>
              </w:rPr>
              <w:t>A</w:t>
            </w:r>
            <w:proofErr w:type="gramEnd"/>
            <w:r w:rsidRPr="006538A2">
              <w:rPr>
                <w:rFonts w:asciiTheme="minorHAnsi" w:hAnsiTheme="minorHAnsi" w:cstheme="minorHAnsi"/>
                <w:b/>
                <w:bCs/>
              </w:rPr>
              <w:t xml:space="preserve"> Ainge &amp; Sons Ltd, for the sum of £4,581,487.</w:t>
            </w:r>
          </w:p>
          <w:p w14:paraId="0A6B5B52" w14:textId="5EAB4292" w:rsidR="00C132B5" w:rsidRPr="007A514F" w:rsidRDefault="00C132B5" w:rsidP="00067CE7">
            <w:pPr>
              <w:pStyle w:val="NoSpacing"/>
              <w:rPr>
                <w:b/>
                <w:bCs/>
              </w:rPr>
            </w:pPr>
          </w:p>
        </w:tc>
        <w:tc>
          <w:tcPr>
            <w:tcW w:w="1028" w:type="dxa"/>
            <w:gridSpan w:val="3"/>
            <w:tcBorders>
              <w:bottom w:val="single" w:sz="4" w:space="0" w:color="auto"/>
            </w:tcBorders>
            <w:shd w:val="clear" w:color="auto" w:fill="auto"/>
          </w:tcPr>
          <w:p w14:paraId="539B1628" w14:textId="77777777" w:rsidR="00067CE7" w:rsidRPr="00241AF6" w:rsidRDefault="00067CE7" w:rsidP="00067CE7">
            <w:pPr>
              <w:pStyle w:val="NoSpacing"/>
            </w:pPr>
          </w:p>
        </w:tc>
      </w:tr>
      <w:tr w:rsidR="00581237" w:rsidRPr="00241AF6" w14:paraId="003C2F11" w14:textId="77777777" w:rsidTr="008578AD">
        <w:tc>
          <w:tcPr>
            <w:tcW w:w="988" w:type="dxa"/>
            <w:gridSpan w:val="2"/>
            <w:tcBorders>
              <w:bottom w:val="single" w:sz="4" w:space="0" w:color="auto"/>
              <w:right w:val="nil"/>
            </w:tcBorders>
            <w:shd w:val="clear" w:color="auto" w:fill="D9D9D9"/>
          </w:tcPr>
          <w:p w14:paraId="01B554D6" w14:textId="38D5C3F4" w:rsidR="00581237" w:rsidRPr="00241AF6" w:rsidRDefault="00581237" w:rsidP="00067CE7">
            <w:pPr>
              <w:rPr>
                <w:b/>
              </w:rPr>
            </w:pPr>
            <w:r>
              <w:rPr>
                <w:b/>
              </w:rPr>
              <w:t>Item 2.5</w:t>
            </w:r>
          </w:p>
        </w:tc>
        <w:tc>
          <w:tcPr>
            <w:tcW w:w="8255" w:type="dxa"/>
            <w:gridSpan w:val="8"/>
            <w:tcBorders>
              <w:left w:val="nil"/>
              <w:bottom w:val="single" w:sz="4" w:space="0" w:color="auto"/>
            </w:tcBorders>
            <w:shd w:val="clear" w:color="auto" w:fill="D9D9D9"/>
          </w:tcPr>
          <w:p w14:paraId="24843D9B" w14:textId="2F3EBCAA" w:rsidR="00581237" w:rsidRPr="002911B8" w:rsidRDefault="002911B8" w:rsidP="00795670">
            <w:pPr>
              <w:pStyle w:val="NoSpacing"/>
              <w:rPr>
                <w:i/>
                <w:iCs/>
              </w:rPr>
            </w:pPr>
            <w:r w:rsidRPr="002911B8">
              <w:rPr>
                <w:rFonts w:cs="Arial"/>
                <w:b/>
                <w:bCs/>
              </w:rPr>
              <w:t>Modern Slavery Statement 2023-2024</w:t>
            </w:r>
            <w:r>
              <w:rPr>
                <w:rFonts w:cs="Arial"/>
                <w:b/>
                <w:bCs/>
              </w:rPr>
              <w:t xml:space="preserve"> </w:t>
            </w:r>
            <w:r w:rsidRPr="002911B8">
              <w:rPr>
                <w:rFonts w:cs="Arial"/>
                <w:i/>
                <w:iCs/>
              </w:rPr>
              <w:t>annual review</w:t>
            </w:r>
          </w:p>
        </w:tc>
      </w:tr>
      <w:tr w:rsidR="00581237" w:rsidRPr="00241AF6" w14:paraId="66FA9D6D" w14:textId="1A1D39D1" w:rsidTr="008578AD">
        <w:tc>
          <w:tcPr>
            <w:tcW w:w="988" w:type="dxa"/>
            <w:gridSpan w:val="2"/>
            <w:tcBorders>
              <w:bottom w:val="single" w:sz="4" w:space="0" w:color="auto"/>
            </w:tcBorders>
            <w:shd w:val="clear" w:color="auto" w:fill="auto"/>
          </w:tcPr>
          <w:p w14:paraId="562C46C8" w14:textId="4441A247" w:rsidR="00581237" w:rsidRPr="00581237" w:rsidRDefault="00581237" w:rsidP="00067CE7">
            <w:pPr>
              <w:rPr>
                <w:bCs/>
              </w:rPr>
            </w:pPr>
            <w:r>
              <w:rPr>
                <w:bCs/>
              </w:rPr>
              <w:t>2.5</w:t>
            </w:r>
          </w:p>
        </w:tc>
        <w:tc>
          <w:tcPr>
            <w:tcW w:w="7227" w:type="dxa"/>
            <w:gridSpan w:val="5"/>
            <w:tcBorders>
              <w:bottom w:val="single" w:sz="4" w:space="0" w:color="auto"/>
            </w:tcBorders>
            <w:shd w:val="clear" w:color="auto" w:fill="auto"/>
          </w:tcPr>
          <w:p w14:paraId="7BE7DD9A" w14:textId="623C7184" w:rsidR="00581237" w:rsidRDefault="00581237" w:rsidP="00795670">
            <w:pPr>
              <w:pStyle w:val="NoSpacing"/>
              <w:rPr>
                <w:bCs/>
              </w:rPr>
            </w:pPr>
            <w:r>
              <w:rPr>
                <w:bCs/>
              </w:rPr>
              <w:t>The report was taken as read.</w:t>
            </w:r>
          </w:p>
          <w:p w14:paraId="2AB79F6F" w14:textId="77777777" w:rsidR="00581237" w:rsidRDefault="00581237" w:rsidP="00795670">
            <w:pPr>
              <w:pStyle w:val="NoSpacing"/>
              <w:rPr>
                <w:bCs/>
              </w:rPr>
            </w:pPr>
          </w:p>
          <w:p w14:paraId="0FE869A2" w14:textId="79752275" w:rsidR="00581237" w:rsidRDefault="00052101" w:rsidP="00795670">
            <w:pPr>
              <w:pStyle w:val="NoSpacing"/>
              <w:rPr>
                <w:bCs/>
              </w:rPr>
            </w:pPr>
            <w:r>
              <w:rPr>
                <w:bCs/>
              </w:rPr>
              <w:t xml:space="preserve">The Board noted that the </w:t>
            </w:r>
            <w:r w:rsidR="006D017D">
              <w:rPr>
                <w:bCs/>
              </w:rPr>
              <w:t xml:space="preserve">Home </w:t>
            </w:r>
            <w:r>
              <w:rPr>
                <w:bCs/>
              </w:rPr>
              <w:t>O</w:t>
            </w:r>
            <w:r w:rsidR="006D017D">
              <w:rPr>
                <w:bCs/>
              </w:rPr>
              <w:t>ffice</w:t>
            </w:r>
            <w:r>
              <w:rPr>
                <w:bCs/>
              </w:rPr>
              <w:t xml:space="preserve"> have</w:t>
            </w:r>
            <w:r w:rsidR="006D017D">
              <w:rPr>
                <w:bCs/>
              </w:rPr>
              <w:t xml:space="preserve"> changed </w:t>
            </w:r>
            <w:r>
              <w:rPr>
                <w:bCs/>
              </w:rPr>
              <w:t xml:space="preserve">the </w:t>
            </w:r>
            <w:r w:rsidR="006D017D">
              <w:rPr>
                <w:bCs/>
              </w:rPr>
              <w:t xml:space="preserve">parameters on </w:t>
            </w:r>
            <w:r>
              <w:rPr>
                <w:bCs/>
              </w:rPr>
              <w:t xml:space="preserve">reporting, </w:t>
            </w:r>
            <w:r w:rsidR="00BA66DE">
              <w:rPr>
                <w:bCs/>
              </w:rPr>
              <w:t xml:space="preserve">now </w:t>
            </w:r>
            <w:r>
              <w:rPr>
                <w:bCs/>
              </w:rPr>
              <w:t>requiring the statement to align to the financial year of the organisation.</w:t>
            </w:r>
          </w:p>
          <w:p w14:paraId="3C90354D" w14:textId="77777777" w:rsidR="00581237" w:rsidRDefault="00581237" w:rsidP="00795670">
            <w:pPr>
              <w:pStyle w:val="NoSpacing"/>
              <w:rPr>
                <w:bCs/>
              </w:rPr>
            </w:pPr>
          </w:p>
          <w:p w14:paraId="25D8AEB0" w14:textId="77777777" w:rsidR="00581237" w:rsidRDefault="006538A2" w:rsidP="00795670">
            <w:pPr>
              <w:pStyle w:val="NoSpacing"/>
              <w:rPr>
                <w:b/>
              </w:rPr>
            </w:pPr>
            <w:r>
              <w:rPr>
                <w:b/>
              </w:rPr>
              <w:t>The Board approved the NPH Modern Slavery Statement 2023/2024</w:t>
            </w:r>
          </w:p>
          <w:p w14:paraId="7BA43E65" w14:textId="2098ED6A" w:rsidR="00C132B5" w:rsidRPr="00581237" w:rsidRDefault="00C132B5" w:rsidP="00795670">
            <w:pPr>
              <w:pStyle w:val="NoSpacing"/>
              <w:rPr>
                <w:b/>
              </w:rPr>
            </w:pPr>
          </w:p>
        </w:tc>
        <w:tc>
          <w:tcPr>
            <w:tcW w:w="1028" w:type="dxa"/>
            <w:gridSpan w:val="3"/>
            <w:tcBorders>
              <w:bottom w:val="single" w:sz="4" w:space="0" w:color="auto"/>
            </w:tcBorders>
            <w:shd w:val="clear" w:color="auto" w:fill="auto"/>
          </w:tcPr>
          <w:p w14:paraId="6E3FCE2E" w14:textId="77777777" w:rsidR="00581237" w:rsidRPr="00795670" w:rsidRDefault="00581237" w:rsidP="00795670">
            <w:pPr>
              <w:pStyle w:val="NoSpacing"/>
              <w:rPr>
                <w:b/>
              </w:rPr>
            </w:pPr>
          </w:p>
        </w:tc>
      </w:tr>
      <w:tr w:rsidR="00067CE7" w:rsidRPr="00241AF6" w14:paraId="7E21297F" w14:textId="77777777" w:rsidTr="008578AD">
        <w:tc>
          <w:tcPr>
            <w:tcW w:w="988" w:type="dxa"/>
            <w:gridSpan w:val="2"/>
            <w:tcBorders>
              <w:bottom w:val="single" w:sz="4" w:space="0" w:color="auto"/>
            </w:tcBorders>
            <w:shd w:val="clear" w:color="auto" w:fill="D9D9D9"/>
          </w:tcPr>
          <w:p w14:paraId="49A9FBD5" w14:textId="77777777" w:rsidR="00067CE7" w:rsidRPr="00241AF6" w:rsidRDefault="00067CE7" w:rsidP="00067CE7">
            <w:pPr>
              <w:rPr>
                <w:b/>
              </w:rPr>
            </w:pPr>
            <w:r w:rsidRPr="00241AF6">
              <w:rPr>
                <w:b/>
              </w:rPr>
              <w:t>Item 3</w:t>
            </w:r>
          </w:p>
        </w:tc>
        <w:tc>
          <w:tcPr>
            <w:tcW w:w="8255" w:type="dxa"/>
            <w:gridSpan w:val="8"/>
            <w:tcBorders>
              <w:bottom w:val="single" w:sz="4" w:space="0" w:color="auto"/>
            </w:tcBorders>
            <w:shd w:val="clear" w:color="auto" w:fill="D9D9D9"/>
          </w:tcPr>
          <w:p w14:paraId="192EF3C5" w14:textId="77777777" w:rsidR="00067CE7" w:rsidRPr="00795670" w:rsidRDefault="00067CE7" w:rsidP="00795670">
            <w:pPr>
              <w:pStyle w:val="NoSpacing"/>
              <w:rPr>
                <w:b/>
              </w:rPr>
            </w:pPr>
            <w:r w:rsidRPr="00795670">
              <w:rPr>
                <w:b/>
              </w:rPr>
              <w:t>For Decision</w:t>
            </w:r>
          </w:p>
          <w:p w14:paraId="394A9ACB" w14:textId="77777777" w:rsidR="00067CE7" w:rsidRPr="00241AF6" w:rsidRDefault="00067CE7" w:rsidP="00795670">
            <w:pPr>
              <w:pStyle w:val="NoSpacing"/>
            </w:pPr>
            <w:r w:rsidRPr="00795670">
              <w:rPr>
                <w:b/>
              </w:rPr>
              <w:t>Recommended by Committee</w:t>
            </w:r>
          </w:p>
        </w:tc>
      </w:tr>
      <w:tr w:rsidR="00067CE7" w:rsidRPr="00241AF6" w14:paraId="4F272C5A" w14:textId="77777777" w:rsidTr="009C590E">
        <w:tc>
          <w:tcPr>
            <w:tcW w:w="9243" w:type="dxa"/>
            <w:gridSpan w:val="10"/>
            <w:shd w:val="clear" w:color="auto" w:fill="D9D9D9"/>
          </w:tcPr>
          <w:p w14:paraId="5941DF7A" w14:textId="1E925A60" w:rsidR="00067CE7" w:rsidRPr="00241AF6" w:rsidRDefault="00067CE7" w:rsidP="00067CE7">
            <w:pPr>
              <w:rPr>
                <w:b/>
              </w:rPr>
            </w:pPr>
            <w:r w:rsidRPr="00241AF6">
              <w:rPr>
                <w:b/>
              </w:rPr>
              <w:t>Item 3.1</w:t>
            </w:r>
            <w:r w:rsidRPr="001A0A36">
              <w:rPr>
                <w:b/>
              </w:rPr>
              <w:t>:</w:t>
            </w:r>
            <w:r w:rsidR="001A0A36" w:rsidRPr="001A0A36">
              <w:rPr>
                <w:b/>
              </w:rPr>
              <w:t xml:space="preserve">  </w:t>
            </w:r>
            <w:r w:rsidR="001A0A36" w:rsidRPr="001A0A36">
              <w:rPr>
                <w:rFonts w:cs="Arial"/>
                <w:b/>
                <w:bCs/>
              </w:rPr>
              <w:t xml:space="preserve"> Final Consolidated Financial Statements &amp; Going Concern Review</w:t>
            </w:r>
          </w:p>
        </w:tc>
      </w:tr>
      <w:tr w:rsidR="00067CE7" w:rsidRPr="00241AF6" w14:paraId="0D2DE799" w14:textId="77777777" w:rsidTr="008578AD">
        <w:tc>
          <w:tcPr>
            <w:tcW w:w="988" w:type="dxa"/>
            <w:gridSpan w:val="2"/>
            <w:shd w:val="clear" w:color="auto" w:fill="auto"/>
          </w:tcPr>
          <w:p w14:paraId="2CDD5B27" w14:textId="77777777" w:rsidR="00067CE7" w:rsidRPr="00241AF6" w:rsidRDefault="00067CE7" w:rsidP="00067CE7">
            <w:pPr>
              <w:pStyle w:val="NoSpacing"/>
            </w:pPr>
            <w:r>
              <w:t>3.1</w:t>
            </w:r>
          </w:p>
        </w:tc>
        <w:tc>
          <w:tcPr>
            <w:tcW w:w="7227" w:type="dxa"/>
            <w:gridSpan w:val="5"/>
            <w:shd w:val="clear" w:color="auto" w:fill="auto"/>
          </w:tcPr>
          <w:p w14:paraId="00B0C86A" w14:textId="179F30F6" w:rsidR="00EB7D1D" w:rsidRDefault="00EB7D1D" w:rsidP="00067CE7">
            <w:pPr>
              <w:pStyle w:val="NoSpacing"/>
            </w:pPr>
            <w:r>
              <w:t xml:space="preserve">The Board were presented with the final consolidated statements for the year ended 31 March 2023, together with the Going Concern Review and Letter of </w:t>
            </w:r>
            <w:r w:rsidR="00BA66DE">
              <w:t>R</w:t>
            </w:r>
            <w:r>
              <w:t>epresentation.</w:t>
            </w:r>
          </w:p>
          <w:p w14:paraId="5125F8AD" w14:textId="77777777" w:rsidR="00C132B5" w:rsidRDefault="00C132B5" w:rsidP="00067CE7">
            <w:pPr>
              <w:pStyle w:val="NoSpacing"/>
            </w:pPr>
          </w:p>
          <w:p w14:paraId="47CBC91C" w14:textId="2FE82A44" w:rsidR="00EB7D1D" w:rsidRDefault="00EB7D1D" w:rsidP="00EB7D1D">
            <w:pPr>
              <w:pStyle w:val="NoSpacing"/>
            </w:pPr>
            <w:r>
              <w:t>The Board were advised that the external audit has now been concluded and the audit completion report from Mazars was presented. The Board noted the treatment of the recorded pension asset following the triennial valuation.</w:t>
            </w:r>
          </w:p>
          <w:p w14:paraId="43385D12" w14:textId="25D2E799" w:rsidR="00EB7D1D" w:rsidRDefault="00EB7D1D" w:rsidP="00EB7D1D">
            <w:pPr>
              <w:pStyle w:val="NoSpacing"/>
            </w:pPr>
            <w:r>
              <w:t xml:space="preserve">The </w:t>
            </w:r>
            <w:r w:rsidR="00BA66DE">
              <w:t>p</w:t>
            </w:r>
            <w:r>
              <w:t>ension asset has been removed showing a nil value in the balance sheet (liability and reserves).  Additional information has been provided in the accounting policies, reserves and retirement benefits note in addition to the narrative in the Directors report.</w:t>
            </w:r>
          </w:p>
          <w:p w14:paraId="1F3633D3" w14:textId="77777777" w:rsidR="00C132B5" w:rsidRDefault="00C132B5" w:rsidP="00EB7D1D">
            <w:pPr>
              <w:pStyle w:val="NoSpacing"/>
            </w:pPr>
          </w:p>
          <w:p w14:paraId="65A47CA5" w14:textId="3E46ACD6" w:rsidR="00EB7D1D" w:rsidRDefault="00EB7D1D" w:rsidP="00EB7D1D">
            <w:pPr>
              <w:pStyle w:val="NoSpacing"/>
            </w:pPr>
            <w:r>
              <w:t xml:space="preserve">The Board noted the adjustment for the Westbridge lease under IFRS 16 as </w:t>
            </w:r>
            <w:r w:rsidR="00325CF3">
              <w:t>t</w:t>
            </w:r>
            <w:r>
              <w:t>he consolidated accounts reflect the prior year adjustment for the recognition of the full 9-year lease for Westbridge as of 31 March 2022. The in-year acceleration of depreciation included in the 2022/23 financial statements reflects the impact on the original lease conditions relating to alternative premises being sought for NPH by the leaseholder, West Northamptonshire Council (WNC).</w:t>
            </w:r>
          </w:p>
          <w:p w14:paraId="34844D7E" w14:textId="724EAFE3" w:rsidR="00EB7D1D" w:rsidRDefault="00EB7D1D" w:rsidP="00EB7D1D">
            <w:pPr>
              <w:pStyle w:val="NoSpacing"/>
            </w:pPr>
          </w:p>
          <w:p w14:paraId="42123523" w14:textId="6BA70D9E" w:rsidR="00292420" w:rsidRDefault="00292420" w:rsidP="00292420">
            <w:pPr>
              <w:pStyle w:val="NoSpacing"/>
            </w:pPr>
            <w:r>
              <w:t xml:space="preserve">The Letter of Representation lists Andrew Weatherill under the </w:t>
            </w:r>
            <w:r w:rsidRPr="00292420">
              <w:t>Directors’ emoluments</w:t>
            </w:r>
            <w:r>
              <w:t xml:space="preserve"> but does not stipulate that he is a Co-Optee not a Board director. </w:t>
            </w:r>
          </w:p>
          <w:p w14:paraId="00779864" w14:textId="77777777" w:rsidR="00C132B5" w:rsidRDefault="00C132B5" w:rsidP="00292420">
            <w:pPr>
              <w:pStyle w:val="NoSpacing"/>
              <w:rPr>
                <w:b/>
                <w:bCs/>
              </w:rPr>
            </w:pPr>
          </w:p>
          <w:p w14:paraId="36FA396A" w14:textId="38C1DE3D" w:rsidR="00292420" w:rsidRPr="00292420" w:rsidRDefault="00292420" w:rsidP="00292420">
            <w:pPr>
              <w:pStyle w:val="NoSpacing"/>
            </w:pPr>
            <w:r w:rsidRPr="00292420">
              <w:rPr>
                <w:b/>
                <w:bCs/>
              </w:rPr>
              <w:t>Action</w:t>
            </w:r>
            <w:r>
              <w:t>: LC to raise with the auditors whether Andrew Weatherill should be listed as a Co-Optee in the Letter of Representation as he is not a member of the Board.</w:t>
            </w:r>
          </w:p>
          <w:p w14:paraId="212032A2" w14:textId="2F793423" w:rsidR="001A0A36" w:rsidRDefault="005279FF" w:rsidP="00067CE7">
            <w:pPr>
              <w:pStyle w:val="NoSpacing"/>
            </w:pPr>
            <w:r>
              <w:t xml:space="preserve">  </w:t>
            </w:r>
          </w:p>
          <w:p w14:paraId="155E85D2" w14:textId="77777777" w:rsidR="001A0A36" w:rsidRDefault="006538A2" w:rsidP="00067CE7">
            <w:pPr>
              <w:pStyle w:val="NoSpacing"/>
              <w:rPr>
                <w:b/>
                <w:bCs/>
              </w:rPr>
            </w:pPr>
            <w:r>
              <w:rPr>
                <w:b/>
                <w:bCs/>
              </w:rPr>
              <w:t>The Board:</w:t>
            </w:r>
          </w:p>
          <w:p w14:paraId="7E527CB2" w14:textId="77777777" w:rsidR="006538A2" w:rsidRDefault="006538A2" w:rsidP="006538A2">
            <w:pPr>
              <w:pStyle w:val="NoSpacing"/>
              <w:numPr>
                <w:ilvl w:val="0"/>
                <w:numId w:val="27"/>
              </w:numPr>
              <w:rPr>
                <w:b/>
                <w:bCs/>
              </w:rPr>
            </w:pPr>
            <w:r>
              <w:rPr>
                <w:b/>
                <w:bCs/>
              </w:rPr>
              <w:t>Noted the performance for the year and the Going Concern position</w:t>
            </w:r>
          </w:p>
          <w:p w14:paraId="74EC4F95" w14:textId="77777777" w:rsidR="006538A2" w:rsidRDefault="006538A2" w:rsidP="006538A2">
            <w:pPr>
              <w:pStyle w:val="NoSpacing"/>
              <w:numPr>
                <w:ilvl w:val="0"/>
                <w:numId w:val="27"/>
              </w:numPr>
              <w:rPr>
                <w:b/>
                <w:bCs/>
              </w:rPr>
            </w:pPr>
            <w:r>
              <w:rPr>
                <w:b/>
                <w:bCs/>
              </w:rPr>
              <w:t>Approved the Consolidated Financial Statements</w:t>
            </w:r>
          </w:p>
          <w:p w14:paraId="1CFFFCF0" w14:textId="62119B17" w:rsidR="006538A2" w:rsidRDefault="006538A2" w:rsidP="006538A2">
            <w:pPr>
              <w:pStyle w:val="NoSpacing"/>
              <w:numPr>
                <w:ilvl w:val="0"/>
                <w:numId w:val="27"/>
              </w:numPr>
              <w:rPr>
                <w:b/>
                <w:bCs/>
              </w:rPr>
            </w:pPr>
            <w:r>
              <w:rPr>
                <w:b/>
                <w:bCs/>
              </w:rPr>
              <w:lastRenderedPageBreak/>
              <w:t xml:space="preserve">Delegated authority to </w:t>
            </w:r>
            <w:r w:rsidR="00292420">
              <w:rPr>
                <w:b/>
                <w:bCs/>
              </w:rPr>
              <w:t xml:space="preserve">the </w:t>
            </w:r>
            <w:r>
              <w:rPr>
                <w:b/>
                <w:bCs/>
              </w:rPr>
              <w:t>Chair to sign the accounts on behalf of the Board</w:t>
            </w:r>
          </w:p>
          <w:p w14:paraId="55753B5D" w14:textId="77777777" w:rsidR="006538A2" w:rsidRDefault="006538A2" w:rsidP="006538A2">
            <w:pPr>
              <w:pStyle w:val="NoSpacing"/>
              <w:numPr>
                <w:ilvl w:val="0"/>
                <w:numId w:val="27"/>
              </w:numPr>
              <w:rPr>
                <w:b/>
                <w:bCs/>
              </w:rPr>
            </w:pPr>
            <w:r>
              <w:rPr>
                <w:b/>
                <w:bCs/>
              </w:rPr>
              <w:t xml:space="preserve">Delegated authority to </w:t>
            </w:r>
            <w:r w:rsidR="00292420">
              <w:rPr>
                <w:b/>
                <w:bCs/>
              </w:rPr>
              <w:t xml:space="preserve">the </w:t>
            </w:r>
            <w:r>
              <w:rPr>
                <w:b/>
                <w:bCs/>
              </w:rPr>
              <w:t>Chair to sign the Letter of Representation on behalf of the Board</w:t>
            </w:r>
          </w:p>
          <w:p w14:paraId="42FEB492" w14:textId="69DCC4C2" w:rsidR="00C132B5" w:rsidRPr="001A0A36" w:rsidRDefault="00C132B5" w:rsidP="00683383">
            <w:pPr>
              <w:pStyle w:val="NoSpacing"/>
              <w:ind w:left="720"/>
              <w:rPr>
                <w:b/>
                <w:bCs/>
              </w:rPr>
            </w:pPr>
          </w:p>
        </w:tc>
        <w:tc>
          <w:tcPr>
            <w:tcW w:w="1028" w:type="dxa"/>
            <w:gridSpan w:val="3"/>
            <w:shd w:val="clear" w:color="auto" w:fill="auto"/>
          </w:tcPr>
          <w:p w14:paraId="406210DE" w14:textId="77777777" w:rsidR="00067CE7" w:rsidRPr="00241AF6" w:rsidRDefault="00067CE7" w:rsidP="00067CE7">
            <w:pPr>
              <w:pStyle w:val="NoSpacing"/>
            </w:pPr>
          </w:p>
        </w:tc>
      </w:tr>
      <w:tr w:rsidR="00067CE7" w:rsidRPr="00241AF6" w14:paraId="56EC0814" w14:textId="77777777" w:rsidTr="009C590E">
        <w:tc>
          <w:tcPr>
            <w:tcW w:w="9243" w:type="dxa"/>
            <w:gridSpan w:val="10"/>
            <w:shd w:val="clear" w:color="auto" w:fill="D9D9D9"/>
          </w:tcPr>
          <w:p w14:paraId="351A8EFB" w14:textId="2990292E" w:rsidR="00067CE7" w:rsidRPr="00241AF6" w:rsidRDefault="00067CE7" w:rsidP="00067CE7">
            <w:pPr>
              <w:rPr>
                <w:b/>
              </w:rPr>
            </w:pPr>
            <w:r w:rsidRPr="00241AF6">
              <w:rPr>
                <w:b/>
              </w:rPr>
              <w:t>Item 3.2:</w:t>
            </w:r>
            <w:r w:rsidR="001A0A36">
              <w:rPr>
                <w:b/>
              </w:rPr>
              <w:t xml:space="preserve">  </w:t>
            </w:r>
            <w:r w:rsidR="001A0A36" w:rsidRPr="00D83F2B">
              <w:rPr>
                <w:rFonts w:cs="Arial"/>
                <w:b/>
                <w:bCs/>
              </w:rPr>
              <w:t xml:space="preserve"> Appointment of External Auditors</w:t>
            </w:r>
          </w:p>
        </w:tc>
      </w:tr>
      <w:tr w:rsidR="00067CE7" w:rsidRPr="00241AF6" w14:paraId="0E90D43F" w14:textId="77777777" w:rsidTr="008578AD">
        <w:tc>
          <w:tcPr>
            <w:tcW w:w="988" w:type="dxa"/>
            <w:gridSpan w:val="2"/>
            <w:shd w:val="clear" w:color="auto" w:fill="auto"/>
          </w:tcPr>
          <w:p w14:paraId="37FEB963" w14:textId="77777777" w:rsidR="00067CE7" w:rsidRPr="00241AF6" w:rsidRDefault="00067CE7" w:rsidP="00067CE7">
            <w:pPr>
              <w:pStyle w:val="NoSpacing"/>
            </w:pPr>
            <w:r>
              <w:t>3.2</w:t>
            </w:r>
          </w:p>
        </w:tc>
        <w:tc>
          <w:tcPr>
            <w:tcW w:w="7227" w:type="dxa"/>
            <w:gridSpan w:val="5"/>
            <w:shd w:val="clear" w:color="auto" w:fill="auto"/>
          </w:tcPr>
          <w:p w14:paraId="0756DD0E" w14:textId="6A7C9DFD" w:rsidR="00124B6F" w:rsidRDefault="00124B6F" w:rsidP="00124B6F">
            <w:pPr>
              <w:pStyle w:val="NoSpacing"/>
            </w:pPr>
            <w:r>
              <w:t xml:space="preserve">The report was taken as read. </w:t>
            </w:r>
          </w:p>
          <w:p w14:paraId="1A610C01" w14:textId="77777777" w:rsidR="00C132B5" w:rsidRDefault="00C132B5" w:rsidP="00067CE7">
            <w:pPr>
              <w:pStyle w:val="NoSpacing"/>
            </w:pPr>
          </w:p>
          <w:p w14:paraId="0C6D7E51" w14:textId="0D73466A" w:rsidR="00067CE7" w:rsidRDefault="001F0F33" w:rsidP="00067CE7">
            <w:pPr>
              <w:pStyle w:val="NoSpacing"/>
            </w:pPr>
            <w:r w:rsidRPr="00A377DB">
              <w:t>The formal tender was processed through the Constellia framework, and seven local and national audit providers were approached and encouraged to submit tenders. For various reasons detailed in the report, only one provider completed a submission, however this was still processed fully with scoring and moderation.</w:t>
            </w:r>
            <w:r>
              <w:t xml:space="preserve"> The appointment by Mazars of a new Audit Manager and Audit Partner ensures independence is maintained.</w:t>
            </w:r>
          </w:p>
          <w:p w14:paraId="55DCF65C" w14:textId="77777777" w:rsidR="001A0A36" w:rsidRDefault="001A0A36" w:rsidP="00067CE7">
            <w:pPr>
              <w:pStyle w:val="NoSpacing"/>
            </w:pPr>
          </w:p>
          <w:p w14:paraId="1C65A7D9" w14:textId="77777777" w:rsidR="001A0A36" w:rsidRDefault="006538A2" w:rsidP="00067CE7">
            <w:pPr>
              <w:pStyle w:val="NoSpacing"/>
              <w:rPr>
                <w:b/>
                <w:bCs/>
              </w:rPr>
            </w:pPr>
            <w:r>
              <w:rPr>
                <w:b/>
                <w:bCs/>
              </w:rPr>
              <w:t>The Board:</w:t>
            </w:r>
          </w:p>
          <w:p w14:paraId="1EC8B538" w14:textId="77777777" w:rsidR="006538A2" w:rsidRDefault="006538A2" w:rsidP="006538A2">
            <w:pPr>
              <w:pStyle w:val="NoSpacing"/>
              <w:numPr>
                <w:ilvl w:val="0"/>
                <w:numId w:val="28"/>
              </w:numPr>
              <w:rPr>
                <w:b/>
                <w:bCs/>
              </w:rPr>
            </w:pPr>
            <w:r>
              <w:rPr>
                <w:b/>
                <w:bCs/>
              </w:rPr>
              <w:t>Approved the recommendation to appoint Mazars as external Audit service providers for an initial term of 3 years, with a potential extension for a further 2 years, with a start date of 01 November 2023. This appointment will also be confirmed with the member at the AGM on 13 October 2023</w:t>
            </w:r>
          </w:p>
          <w:p w14:paraId="421AE7CD" w14:textId="2863FC09" w:rsidR="00C132B5" w:rsidRPr="006538A2" w:rsidRDefault="00C132B5" w:rsidP="00683383">
            <w:pPr>
              <w:pStyle w:val="NoSpacing"/>
              <w:ind w:left="720"/>
              <w:rPr>
                <w:b/>
                <w:bCs/>
              </w:rPr>
            </w:pPr>
          </w:p>
        </w:tc>
        <w:tc>
          <w:tcPr>
            <w:tcW w:w="1028" w:type="dxa"/>
            <w:gridSpan w:val="3"/>
            <w:shd w:val="clear" w:color="auto" w:fill="auto"/>
          </w:tcPr>
          <w:p w14:paraId="1D3B7F56" w14:textId="77777777" w:rsidR="00067CE7" w:rsidRPr="00241AF6" w:rsidRDefault="00067CE7" w:rsidP="00067CE7">
            <w:pPr>
              <w:pStyle w:val="NoSpacing"/>
            </w:pPr>
          </w:p>
        </w:tc>
      </w:tr>
      <w:tr w:rsidR="00067CE7" w:rsidRPr="00241AF6" w14:paraId="4439A3A3" w14:textId="77777777" w:rsidTr="009C590E">
        <w:tc>
          <w:tcPr>
            <w:tcW w:w="9243" w:type="dxa"/>
            <w:gridSpan w:val="10"/>
            <w:shd w:val="clear" w:color="auto" w:fill="D9D9D9"/>
          </w:tcPr>
          <w:p w14:paraId="652B2BBB" w14:textId="03641FF0" w:rsidR="00067CE7" w:rsidRPr="00241AF6" w:rsidRDefault="00067CE7" w:rsidP="00067CE7">
            <w:pPr>
              <w:rPr>
                <w:b/>
              </w:rPr>
            </w:pPr>
            <w:r w:rsidRPr="00241AF6">
              <w:rPr>
                <w:b/>
              </w:rPr>
              <w:t>Item 3.3:</w:t>
            </w:r>
            <w:r w:rsidR="001A0A36">
              <w:rPr>
                <w:b/>
              </w:rPr>
              <w:t xml:space="preserve">  </w:t>
            </w:r>
            <w:r w:rsidR="001A0A36" w:rsidRPr="00D83F2B">
              <w:rPr>
                <w:rFonts w:cs="Arial"/>
                <w:b/>
                <w:bCs/>
              </w:rPr>
              <w:t xml:space="preserve"> VFM Statement</w:t>
            </w:r>
          </w:p>
        </w:tc>
      </w:tr>
      <w:tr w:rsidR="00067CE7" w:rsidRPr="00241AF6" w14:paraId="7E2741C2" w14:textId="77777777" w:rsidTr="008578AD">
        <w:tc>
          <w:tcPr>
            <w:tcW w:w="988" w:type="dxa"/>
            <w:gridSpan w:val="2"/>
            <w:shd w:val="clear" w:color="auto" w:fill="auto"/>
          </w:tcPr>
          <w:p w14:paraId="724783F8" w14:textId="77777777" w:rsidR="00067CE7" w:rsidRPr="00241AF6" w:rsidRDefault="00067CE7" w:rsidP="00067CE7">
            <w:pPr>
              <w:pStyle w:val="NoSpacing"/>
            </w:pPr>
            <w:r>
              <w:t>3.3</w:t>
            </w:r>
          </w:p>
        </w:tc>
        <w:tc>
          <w:tcPr>
            <w:tcW w:w="7227" w:type="dxa"/>
            <w:gridSpan w:val="5"/>
            <w:shd w:val="clear" w:color="auto" w:fill="auto"/>
          </w:tcPr>
          <w:p w14:paraId="1DD9FE58" w14:textId="49C5D451" w:rsidR="00124B6F" w:rsidRDefault="00124B6F" w:rsidP="00124B6F">
            <w:pPr>
              <w:pStyle w:val="NoSpacing"/>
            </w:pPr>
            <w:r>
              <w:t xml:space="preserve">The report was taken as read. </w:t>
            </w:r>
          </w:p>
          <w:p w14:paraId="2237BC30" w14:textId="11D5FC47" w:rsidR="00067CE7" w:rsidRDefault="00067CE7" w:rsidP="00067CE7">
            <w:pPr>
              <w:pStyle w:val="NoSpacing"/>
            </w:pPr>
          </w:p>
          <w:p w14:paraId="593BEFDB" w14:textId="4F53D695" w:rsidR="00F27AFD" w:rsidRDefault="00F27AFD" w:rsidP="00067CE7">
            <w:pPr>
              <w:pStyle w:val="NoSpacing"/>
            </w:pPr>
            <w:r>
              <w:t>The Board noted how the impending changes from the RSH would impact the recording</w:t>
            </w:r>
            <w:r w:rsidR="00C132B5">
              <w:t xml:space="preserve"> of VfM in the future</w:t>
            </w:r>
            <w:r>
              <w:t xml:space="preserve"> in future. NPH continue to experience delays in securing financial information used to support metric calculations as the statutory accounts for WNC remain outstanding. It is planned that both 2021/22 and 2022/23 </w:t>
            </w:r>
            <w:r w:rsidR="00C93CEC">
              <w:t>accounts will be completed this financial year, removing this issue in the future.</w:t>
            </w:r>
          </w:p>
          <w:p w14:paraId="6E6BBF6E" w14:textId="77777777" w:rsidR="001A0A36" w:rsidRDefault="001A0A36" w:rsidP="00067CE7">
            <w:pPr>
              <w:pStyle w:val="NoSpacing"/>
            </w:pPr>
          </w:p>
          <w:p w14:paraId="19895BC9" w14:textId="77777777" w:rsidR="00416AB6" w:rsidRDefault="006538A2" w:rsidP="00067CE7">
            <w:pPr>
              <w:pStyle w:val="NoSpacing"/>
              <w:rPr>
                <w:b/>
                <w:bCs/>
              </w:rPr>
            </w:pPr>
            <w:r>
              <w:rPr>
                <w:b/>
                <w:bCs/>
              </w:rPr>
              <w:t>The Board</w:t>
            </w:r>
            <w:r w:rsidR="00416AB6">
              <w:rPr>
                <w:b/>
                <w:bCs/>
              </w:rPr>
              <w:t>:</w:t>
            </w:r>
          </w:p>
          <w:p w14:paraId="3C9EC68B" w14:textId="0DDA08BD" w:rsidR="001A0A36" w:rsidRPr="001A0A36" w:rsidRDefault="00325CF3" w:rsidP="00683383">
            <w:pPr>
              <w:pStyle w:val="NoSpacing"/>
              <w:numPr>
                <w:ilvl w:val="0"/>
                <w:numId w:val="28"/>
              </w:numPr>
              <w:rPr>
                <w:b/>
                <w:bCs/>
              </w:rPr>
            </w:pPr>
            <w:r>
              <w:rPr>
                <w:b/>
                <w:bCs/>
              </w:rPr>
              <w:t>N</w:t>
            </w:r>
            <w:r w:rsidR="006538A2">
              <w:rPr>
                <w:b/>
                <w:bCs/>
              </w:rPr>
              <w:t>oted the content of the report</w:t>
            </w:r>
            <w:r w:rsidR="00BD343D">
              <w:rPr>
                <w:b/>
                <w:bCs/>
              </w:rPr>
              <w:t>, discussed the proposed VfM statement and approved for publication via the NPH website</w:t>
            </w:r>
          </w:p>
        </w:tc>
        <w:tc>
          <w:tcPr>
            <w:tcW w:w="1028" w:type="dxa"/>
            <w:gridSpan w:val="3"/>
            <w:shd w:val="clear" w:color="auto" w:fill="auto"/>
          </w:tcPr>
          <w:p w14:paraId="3233894E" w14:textId="77777777" w:rsidR="00067CE7" w:rsidRPr="00241AF6" w:rsidRDefault="00067CE7" w:rsidP="00067CE7">
            <w:pPr>
              <w:pStyle w:val="NoSpacing"/>
            </w:pPr>
          </w:p>
        </w:tc>
      </w:tr>
      <w:tr w:rsidR="001A0A36" w:rsidRPr="00241AF6" w14:paraId="07F30043" w14:textId="77777777" w:rsidTr="009C590E">
        <w:tc>
          <w:tcPr>
            <w:tcW w:w="9243" w:type="dxa"/>
            <w:gridSpan w:val="10"/>
            <w:shd w:val="clear" w:color="auto" w:fill="D9D9D9"/>
          </w:tcPr>
          <w:p w14:paraId="402C8B91" w14:textId="27D80543" w:rsidR="001A0A36" w:rsidRPr="00241AF6" w:rsidRDefault="001A0A36" w:rsidP="00067CE7">
            <w:pPr>
              <w:rPr>
                <w:b/>
              </w:rPr>
            </w:pPr>
            <w:r>
              <w:rPr>
                <w:b/>
              </w:rPr>
              <w:t>Item 3.</w:t>
            </w:r>
            <w:r w:rsidR="008578AD">
              <w:rPr>
                <w:b/>
              </w:rPr>
              <w:t>4</w:t>
            </w:r>
            <w:r w:rsidRPr="001A0A36">
              <w:rPr>
                <w:b/>
              </w:rPr>
              <w:t xml:space="preserve">:  </w:t>
            </w:r>
            <w:r w:rsidRPr="001A0A36">
              <w:rPr>
                <w:rFonts w:cs="Arial"/>
                <w:b/>
                <w:bCs/>
              </w:rPr>
              <w:t xml:space="preserve"> Health, Safety and Wellbeing Policy</w:t>
            </w:r>
          </w:p>
        </w:tc>
      </w:tr>
      <w:tr w:rsidR="001A0A36" w:rsidRPr="00241AF6" w14:paraId="7C883F9D" w14:textId="0DD2B1F1" w:rsidTr="008578AD">
        <w:tc>
          <w:tcPr>
            <w:tcW w:w="988" w:type="dxa"/>
            <w:gridSpan w:val="2"/>
            <w:shd w:val="clear" w:color="auto" w:fill="auto"/>
          </w:tcPr>
          <w:p w14:paraId="62D0BA4E" w14:textId="535387E1" w:rsidR="001A0A36" w:rsidRPr="001A0A36" w:rsidRDefault="001A0A36" w:rsidP="00067CE7">
            <w:pPr>
              <w:rPr>
                <w:bCs/>
              </w:rPr>
            </w:pPr>
            <w:r>
              <w:rPr>
                <w:bCs/>
              </w:rPr>
              <w:t>3.</w:t>
            </w:r>
            <w:r w:rsidR="008578AD">
              <w:rPr>
                <w:bCs/>
              </w:rPr>
              <w:t>4</w:t>
            </w:r>
          </w:p>
        </w:tc>
        <w:tc>
          <w:tcPr>
            <w:tcW w:w="7255" w:type="dxa"/>
            <w:gridSpan w:val="7"/>
            <w:shd w:val="clear" w:color="auto" w:fill="auto"/>
          </w:tcPr>
          <w:p w14:paraId="395E42BE" w14:textId="05A6AFB8" w:rsidR="00124B6F" w:rsidRDefault="00124B6F" w:rsidP="00124B6F">
            <w:pPr>
              <w:pStyle w:val="NoSpacing"/>
            </w:pPr>
            <w:r>
              <w:t xml:space="preserve">The report was taken as read. </w:t>
            </w:r>
          </w:p>
          <w:p w14:paraId="246691DD" w14:textId="77777777" w:rsidR="00416AB6" w:rsidRDefault="00416AB6" w:rsidP="001A0A36">
            <w:pPr>
              <w:spacing w:after="0"/>
              <w:rPr>
                <w:bCs/>
              </w:rPr>
            </w:pPr>
          </w:p>
          <w:p w14:paraId="310C6DE2" w14:textId="3DC75DCF" w:rsidR="00C93CEC" w:rsidRDefault="00C93CEC" w:rsidP="001A0A36">
            <w:pPr>
              <w:spacing w:after="0"/>
              <w:rPr>
                <w:bCs/>
              </w:rPr>
            </w:pPr>
            <w:r>
              <w:rPr>
                <w:bCs/>
              </w:rPr>
              <w:t>The Board noted that minor changes have been made to update the policy including renaming to Northamptonshire Partnership Homes and the change of Chief Executive.</w:t>
            </w:r>
          </w:p>
          <w:p w14:paraId="46377F9C" w14:textId="14AC4CD6" w:rsidR="001A0A36" w:rsidRDefault="00C93CEC" w:rsidP="001A0A36">
            <w:pPr>
              <w:spacing w:after="0"/>
              <w:rPr>
                <w:bCs/>
              </w:rPr>
            </w:pPr>
            <w:r>
              <w:rPr>
                <w:bCs/>
              </w:rPr>
              <w:t xml:space="preserve"> </w:t>
            </w:r>
          </w:p>
          <w:p w14:paraId="648A9829" w14:textId="77777777" w:rsidR="001A0A36" w:rsidRDefault="00BD343D" w:rsidP="001A0A36">
            <w:pPr>
              <w:spacing w:after="0"/>
              <w:rPr>
                <w:b/>
              </w:rPr>
            </w:pPr>
            <w:r>
              <w:rPr>
                <w:b/>
              </w:rPr>
              <w:t>The Board:</w:t>
            </w:r>
          </w:p>
          <w:p w14:paraId="5D8536F3" w14:textId="77777777" w:rsidR="00BD343D" w:rsidRDefault="00BD343D" w:rsidP="00BD343D">
            <w:pPr>
              <w:pStyle w:val="ListParagraph"/>
              <w:numPr>
                <w:ilvl w:val="0"/>
                <w:numId w:val="28"/>
              </w:numPr>
              <w:spacing w:after="0"/>
              <w:rPr>
                <w:b/>
              </w:rPr>
            </w:pPr>
            <w:r>
              <w:rPr>
                <w:b/>
              </w:rPr>
              <w:t>Noted the contents of the report</w:t>
            </w:r>
          </w:p>
          <w:p w14:paraId="30039297" w14:textId="77777777" w:rsidR="00BD343D" w:rsidRDefault="00BD343D" w:rsidP="00BD343D">
            <w:pPr>
              <w:pStyle w:val="ListParagraph"/>
              <w:numPr>
                <w:ilvl w:val="0"/>
                <w:numId w:val="28"/>
              </w:numPr>
              <w:spacing w:after="0"/>
              <w:rPr>
                <w:b/>
              </w:rPr>
            </w:pPr>
            <w:r>
              <w:rPr>
                <w:b/>
              </w:rPr>
              <w:lastRenderedPageBreak/>
              <w:t>Approved the NPH Health and Safety Policy</w:t>
            </w:r>
          </w:p>
          <w:p w14:paraId="2EBA033D" w14:textId="77777777" w:rsidR="00BD343D" w:rsidRDefault="00BD343D" w:rsidP="00BD343D">
            <w:pPr>
              <w:pStyle w:val="ListParagraph"/>
              <w:numPr>
                <w:ilvl w:val="0"/>
                <w:numId w:val="28"/>
              </w:numPr>
              <w:spacing w:after="0"/>
              <w:rPr>
                <w:b/>
              </w:rPr>
            </w:pPr>
            <w:r>
              <w:rPr>
                <w:b/>
              </w:rPr>
              <w:t>Approved moving to a two</w:t>
            </w:r>
            <w:r w:rsidR="007A33E9">
              <w:rPr>
                <w:b/>
              </w:rPr>
              <w:t>-</w:t>
            </w:r>
            <w:r>
              <w:rPr>
                <w:b/>
              </w:rPr>
              <w:t>year cycle</w:t>
            </w:r>
            <w:r w:rsidR="00C93CEC">
              <w:rPr>
                <w:b/>
              </w:rPr>
              <w:t xml:space="preserve"> of review</w:t>
            </w:r>
          </w:p>
          <w:p w14:paraId="516A9FCE" w14:textId="7FDF25CC" w:rsidR="00C93CEC" w:rsidRPr="00BD343D" w:rsidRDefault="00C93CEC" w:rsidP="00C93CEC">
            <w:pPr>
              <w:pStyle w:val="ListParagraph"/>
              <w:spacing w:after="0"/>
              <w:rPr>
                <w:b/>
              </w:rPr>
            </w:pPr>
          </w:p>
        </w:tc>
        <w:tc>
          <w:tcPr>
            <w:tcW w:w="1000" w:type="dxa"/>
            <w:shd w:val="clear" w:color="auto" w:fill="auto"/>
          </w:tcPr>
          <w:p w14:paraId="670115B5" w14:textId="77777777" w:rsidR="001A0A36" w:rsidRPr="00241AF6" w:rsidRDefault="001A0A36" w:rsidP="00067CE7">
            <w:pPr>
              <w:rPr>
                <w:b/>
              </w:rPr>
            </w:pPr>
          </w:p>
        </w:tc>
      </w:tr>
      <w:tr w:rsidR="001A0A36" w:rsidRPr="00241AF6" w14:paraId="6D4BF61B" w14:textId="77777777" w:rsidTr="009C590E">
        <w:tc>
          <w:tcPr>
            <w:tcW w:w="9243" w:type="dxa"/>
            <w:gridSpan w:val="10"/>
            <w:shd w:val="clear" w:color="auto" w:fill="D9D9D9"/>
          </w:tcPr>
          <w:p w14:paraId="3719A140" w14:textId="36633976" w:rsidR="001A0A36" w:rsidRPr="00241AF6" w:rsidRDefault="001A0A36" w:rsidP="00067CE7">
            <w:pPr>
              <w:rPr>
                <w:b/>
              </w:rPr>
            </w:pPr>
            <w:r>
              <w:rPr>
                <w:b/>
              </w:rPr>
              <w:t>Item 3.</w:t>
            </w:r>
            <w:r w:rsidR="008578AD">
              <w:rPr>
                <w:b/>
              </w:rPr>
              <w:t>5</w:t>
            </w:r>
            <w:r>
              <w:rPr>
                <w:b/>
              </w:rPr>
              <w:t xml:space="preserve">:  </w:t>
            </w:r>
            <w:r w:rsidRPr="00E6720E">
              <w:rPr>
                <w:rFonts w:cs="Arial"/>
                <w:b/>
                <w:bCs/>
              </w:rPr>
              <w:t xml:space="preserve"> Q1 Strategic Risk Register Review and Sources of Assurance</w:t>
            </w:r>
          </w:p>
        </w:tc>
      </w:tr>
      <w:tr w:rsidR="001A0A36" w:rsidRPr="00241AF6" w14:paraId="5011E862" w14:textId="56DCE2DE" w:rsidTr="008578AD">
        <w:tc>
          <w:tcPr>
            <w:tcW w:w="988" w:type="dxa"/>
            <w:gridSpan w:val="2"/>
            <w:shd w:val="clear" w:color="auto" w:fill="auto"/>
          </w:tcPr>
          <w:p w14:paraId="2FAE62D2" w14:textId="79BF76AC" w:rsidR="001A0A36" w:rsidRPr="001A0A36" w:rsidRDefault="001A0A36" w:rsidP="00067CE7">
            <w:pPr>
              <w:rPr>
                <w:bCs/>
              </w:rPr>
            </w:pPr>
            <w:r>
              <w:rPr>
                <w:bCs/>
              </w:rPr>
              <w:t>3.</w:t>
            </w:r>
            <w:r w:rsidR="008578AD">
              <w:rPr>
                <w:bCs/>
              </w:rPr>
              <w:t>5</w:t>
            </w:r>
          </w:p>
        </w:tc>
        <w:tc>
          <w:tcPr>
            <w:tcW w:w="7243" w:type="dxa"/>
            <w:gridSpan w:val="6"/>
            <w:shd w:val="clear" w:color="auto" w:fill="auto"/>
          </w:tcPr>
          <w:p w14:paraId="50C78ED6" w14:textId="66AFE84E" w:rsidR="00124B6F" w:rsidRDefault="00124B6F" w:rsidP="00124B6F">
            <w:pPr>
              <w:pStyle w:val="NoSpacing"/>
            </w:pPr>
            <w:r>
              <w:t xml:space="preserve">The report was taken as read. </w:t>
            </w:r>
          </w:p>
          <w:p w14:paraId="44896F17" w14:textId="77777777" w:rsidR="00416AB6" w:rsidRDefault="00416AB6" w:rsidP="001A0A36">
            <w:pPr>
              <w:spacing w:after="0"/>
              <w:rPr>
                <w:bCs/>
              </w:rPr>
            </w:pPr>
          </w:p>
          <w:p w14:paraId="069CCB71" w14:textId="0DF67F97" w:rsidR="001A0A36" w:rsidRDefault="00C93CEC" w:rsidP="001A0A36">
            <w:pPr>
              <w:spacing w:after="0"/>
              <w:rPr>
                <w:bCs/>
              </w:rPr>
            </w:pPr>
            <w:r>
              <w:rPr>
                <w:bCs/>
              </w:rPr>
              <w:t xml:space="preserve">The Board discussed the implications of the new </w:t>
            </w:r>
            <w:r w:rsidR="00BA66DE">
              <w:rPr>
                <w:bCs/>
              </w:rPr>
              <w:t>‘</w:t>
            </w:r>
            <w:r>
              <w:rPr>
                <w:bCs/>
              </w:rPr>
              <w:t>cost of living increases</w:t>
            </w:r>
            <w:r w:rsidR="00BA66DE">
              <w:rPr>
                <w:bCs/>
              </w:rPr>
              <w:t>’</w:t>
            </w:r>
            <w:r>
              <w:rPr>
                <w:bCs/>
              </w:rPr>
              <w:t xml:space="preserve"> risk. The Board noted the mitigating actions and controls and reflected that the report contains a good level of detail.</w:t>
            </w:r>
          </w:p>
          <w:p w14:paraId="13088A68" w14:textId="77777777" w:rsidR="00C93CEC" w:rsidRPr="00C93CEC" w:rsidRDefault="00C93CEC" w:rsidP="001A0A36">
            <w:pPr>
              <w:spacing w:after="0"/>
              <w:rPr>
                <w:bCs/>
              </w:rPr>
            </w:pPr>
          </w:p>
          <w:p w14:paraId="408C4851" w14:textId="77777777" w:rsidR="001A0A36" w:rsidRPr="00865559" w:rsidRDefault="00865559" w:rsidP="001A0A36">
            <w:pPr>
              <w:spacing w:after="0"/>
              <w:rPr>
                <w:b/>
              </w:rPr>
            </w:pPr>
            <w:r w:rsidRPr="00865559">
              <w:rPr>
                <w:b/>
              </w:rPr>
              <w:t>The Board:</w:t>
            </w:r>
          </w:p>
          <w:p w14:paraId="6CEF2739" w14:textId="77777777" w:rsidR="00865559" w:rsidRDefault="00865559" w:rsidP="00865559">
            <w:pPr>
              <w:pStyle w:val="ListParagraph"/>
              <w:numPr>
                <w:ilvl w:val="0"/>
                <w:numId w:val="29"/>
              </w:numPr>
              <w:spacing w:after="0"/>
              <w:rPr>
                <w:b/>
              </w:rPr>
            </w:pPr>
            <w:r>
              <w:rPr>
                <w:b/>
              </w:rPr>
              <w:t xml:space="preserve">Noted the updates to the strategic risks and approved the recommendation from Committee to approve the addition of a new Strategic Risk Strategic Risk </w:t>
            </w:r>
            <w:r>
              <w:rPr>
                <w:b/>
                <w:i/>
                <w:iCs/>
              </w:rPr>
              <w:t>2a ‘Cost of living increases (NPH)’</w:t>
            </w:r>
          </w:p>
          <w:p w14:paraId="7E5B81F4" w14:textId="77777777" w:rsidR="00865559" w:rsidRDefault="00865559" w:rsidP="00865559">
            <w:pPr>
              <w:pStyle w:val="ListParagraph"/>
              <w:numPr>
                <w:ilvl w:val="0"/>
                <w:numId w:val="29"/>
              </w:numPr>
              <w:spacing w:after="0"/>
              <w:rPr>
                <w:b/>
              </w:rPr>
            </w:pPr>
            <w:r>
              <w:rPr>
                <w:b/>
              </w:rPr>
              <w:t>Were assured that the current Strategic Risks identified are being appropriately managed, where possible and where within NPH’s control</w:t>
            </w:r>
          </w:p>
          <w:p w14:paraId="1AEDF8F0" w14:textId="72067FA3" w:rsidR="00416AB6" w:rsidRPr="00865559" w:rsidRDefault="00416AB6" w:rsidP="00683383">
            <w:pPr>
              <w:pStyle w:val="ListParagraph"/>
              <w:spacing w:after="0"/>
              <w:rPr>
                <w:b/>
              </w:rPr>
            </w:pPr>
          </w:p>
        </w:tc>
        <w:tc>
          <w:tcPr>
            <w:tcW w:w="1012" w:type="dxa"/>
            <w:gridSpan w:val="2"/>
            <w:shd w:val="clear" w:color="auto" w:fill="auto"/>
          </w:tcPr>
          <w:p w14:paraId="72F855C8" w14:textId="77777777" w:rsidR="001A0A36" w:rsidRPr="00241AF6" w:rsidRDefault="001A0A36" w:rsidP="00067CE7">
            <w:pPr>
              <w:rPr>
                <w:b/>
              </w:rPr>
            </w:pPr>
          </w:p>
        </w:tc>
      </w:tr>
      <w:tr w:rsidR="00067CE7" w:rsidRPr="00241AF6" w14:paraId="5B569A11" w14:textId="77777777" w:rsidTr="009C590E">
        <w:tc>
          <w:tcPr>
            <w:tcW w:w="9243" w:type="dxa"/>
            <w:gridSpan w:val="10"/>
            <w:shd w:val="clear" w:color="auto" w:fill="D9D9D9"/>
          </w:tcPr>
          <w:p w14:paraId="6C88E8C4" w14:textId="3457EE2B" w:rsidR="00067CE7" w:rsidRPr="00241AF6" w:rsidRDefault="00067CE7" w:rsidP="00067CE7">
            <w:pPr>
              <w:rPr>
                <w:b/>
              </w:rPr>
            </w:pPr>
            <w:r w:rsidRPr="00241AF6">
              <w:rPr>
                <w:b/>
              </w:rPr>
              <w:t>Item 3.</w:t>
            </w:r>
            <w:r w:rsidR="008578AD">
              <w:rPr>
                <w:b/>
              </w:rPr>
              <w:t>6</w:t>
            </w:r>
            <w:r w:rsidRPr="001A0A36">
              <w:rPr>
                <w:b/>
              </w:rPr>
              <w:t>:</w:t>
            </w:r>
            <w:r w:rsidR="001A0A36" w:rsidRPr="001A0A36">
              <w:rPr>
                <w:b/>
              </w:rPr>
              <w:t xml:space="preserve">  </w:t>
            </w:r>
            <w:r w:rsidR="001A0A36" w:rsidRPr="001A0A36">
              <w:rPr>
                <w:rFonts w:cs="Arial"/>
                <w:b/>
                <w:bCs/>
              </w:rPr>
              <w:t xml:space="preserve"> Q1 Performance Report</w:t>
            </w:r>
          </w:p>
        </w:tc>
      </w:tr>
      <w:tr w:rsidR="00067CE7" w:rsidRPr="00241AF6" w14:paraId="57E46320" w14:textId="77777777" w:rsidTr="008578AD">
        <w:tc>
          <w:tcPr>
            <w:tcW w:w="988" w:type="dxa"/>
            <w:gridSpan w:val="2"/>
            <w:shd w:val="clear" w:color="auto" w:fill="auto"/>
          </w:tcPr>
          <w:p w14:paraId="2461698D" w14:textId="602E69A3" w:rsidR="00067CE7" w:rsidRPr="00241AF6" w:rsidRDefault="00067CE7" w:rsidP="00067CE7">
            <w:pPr>
              <w:pStyle w:val="NoSpacing"/>
            </w:pPr>
            <w:r>
              <w:t>3.</w:t>
            </w:r>
            <w:r w:rsidR="008578AD">
              <w:t>6</w:t>
            </w:r>
          </w:p>
        </w:tc>
        <w:tc>
          <w:tcPr>
            <w:tcW w:w="7227" w:type="dxa"/>
            <w:gridSpan w:val="5"/>
            <w:shd w:val="clear" w:color="auto" w:fill="auto"/>
          </w:tcPr>
          <w:p w14:paraId="1C1086B0" w14:textId="056FD69A" w:rsidR="00124B6F" w:rsidRDefault="00124B6F" w:rsidP="00124B6F">
            <w:pPr>
              <w:pStyle w:val="NoSpacing"/>
            </w:pPr>
            <w:r>
              <w:t xml:space="preserve">The report was taken as read. </w:t>
            </w:r>
          </w:p>
          <w:p w14:paraId="696875E1" w14:textId="77777777" w:rsidR="008B6477" w:rsidRDefault="008B6477" w:rsidP="00124B6F">
            <w:pPr>
              <w:pStyle w:val="NoSpacing"/>
            </w:pPr>
          </w:p>
          <w:p w14:paraId="3CEC3A70" w14:textId="68D40608" w:rsidR="008B6477" w:rsidRPr="008B6477" w:rsidRDefault="008B6477" w:rsidP="008B6477">
            <w:pPr>
              <w:pStyle w:val="NoSpacing"/>
            </w:pPr>
            <w:r>
              <w:t xml:space="preserve">The Board were updated on the proposed change to </w:t>
            </w:r>
            <w:r w:rsidRPr="00161BC3">
              <w:t xml:space="preserve">TRAV02 ‘Percentage of Service Charge collected for traveller site’ </w:t>
            </w:r>
            <w:r>
              <w:t xml:space="preserve">that </w:t>
            </w:r>
            <w:r w:rsidRPr="00161BC3">
              <w:t>was introduced to the measure set for 2023/24. Following a review of the data collection methodology, it is proposed that this is discontinued as the existing TRAV01 ‘Percentage of Rent collected for traveller sites’ is a measure of rent and service charges collected as a percentage of rent and service charges due</w:t>
            </w:r>
            <w:r>
              <w:t>.</w:t>
            </w:r>
            <w:r w:rsidRPr="008B6477">
              <w:rPr>
                <w:rFonts w:ascii="Arial" w:hAnsi="Arial"/>
              </w:rPr>
              <w:t xml:space="preserve"> </w:t>
            </w:r>
            <w:r w:rsidR="00416AB6">
              <w:t xml:space="preserve">It is further proposed </w:t>
            </w:r>
            <w:r w:rsidRPr="008B6477">
              <w:t>to change the name of TRAV01 to reflect this to % Rent and service charges collected for traveller sites (ex arrears b/f).</w:t>
            </w:r>
          </w:p>
          <w:p w14:paraId="4121B821" w14:textId="4D8AAE02" w:rsidR="008B6477" w:rsidRPr="008B6477" w:rsidRDefault="008B6477" w:rsidP="008B6477">
            <w:pPr>
              <w:pStyle w:val="NoSpacing"/>
            </w:pPr>
          </w:p>
          <w:p w14:paraId="04959E43" w14:textId="0653AB4E" w:rsidR="004264F2" w:rsidRDefault="008B6477" w:rsidP="009A2F0F">
            <w:pPr>
              <w:pStyle w:val="NoSpacing"/>
            </w:pPr>
            <w:r>
              <w:t>A discussion was held on the reasons for the increase in rent arrears, including system issues, cost of living impact and staff vacancies. Work is on-going with WNC to ensure all payments received are posted efficiently</w:t>
            </w:r>
            <w:r w:rsidR="00BA66DE">
              <w:t xml:space="preserve"> in the system</w:t>
            </w:r>
            <w:r>
              <w:t>. A recruitment process is in place to recruit to the vacant posts.</w:t>
            </w:r>
          </w:p>
          <w:p w14:paraId="027A91C2" w14:textId="77777777" w:rsidR="001A0A36" w:rsidRDefault="001A0A36" w:rsidP="00067CE7">
            <w:pPr>
              <w:pStyle w:val="NoSpacing"/>
            </w:pPr>
          </w:p>
          <w:p w14:paraId="0BDE556F" w14:textId="77777777" w:rsidR="001A0A36" w:rsidRDefault="007A33E9" w:rsidP="00067CE7">
            <w:pPr>
              <w:pStyle w:val="NoSpacing"/>
              <w:rPr>
                <w:b/>
                <w:bCs/>
              </w:rPr>
            </w:pPr>
            <w:r>
              <w:rPr>
                <w:b/>
                <w:bCs/>
              </w:rPr>
              <w:t>The Board:</w:t>
            </w:r>
          </w:p>
          <w:p w14:paraId="4DE9FD08" w14:textId="08B48934" w:rsidR="007A33E9" w:rsidRDefault="007A33E9" w:rsidP="007A33E9">
            <w:pPr>
              <w:pStyle w:val="NoSpacing"/>
              <w:numPr>
                <w:ilvl w:val="0"/>
                <w:numId w:val="31"/>
              </w:numPr>
              <w:rPr>
                <w:b/>
                <w:bCs/>
              </w:rPr>
            </w:pPr>
            <w:r>
              <w:rPr>
                <w:b/>
                <w:bCs/>
              </w:rPr>
              <w:t xml:space="preserve">Noted the contents of the report detailing performance for this period and associated actions </w:t>
            </w:r>
            <w:r w:rsidR="00C93CEC">
              <w:rPr>
                <w:b/>
                <w:bCs/>
              </w:rPr>
              <w:t>and,</w:t>
            </w:r>
          </w:p>
          <w:p w14:paraId="4AA4D48B" w14:textId="77777777" w:rsidR="007A33E9" w:rsidRDefault="007A33E9" w:rsidP="007A33E9">
            <w:pPr>
              <w:pStyle w:val="NoSpacing"/>
              <w:numPr>
                <w:ilvl w:val="0"/>
                <w:numId w:val="31"/>
              </w:numPr>
              <w:rPr>
                <w:b/>
                <w:bCs/>
              </w:rPr>
            </w:pPr>
            <w:r>
              <w:rPr>
                <w:b/>
                <w:bCs/>
              </w:rPr>
              <w:t>Noted that a Performance Management Framework Review will be carried out that will result in a change to the measures currently reported to Board from the current corporate KPI measures set, to reflect the needs of the business and ensure accountability and oversight by the appropriate levels of NPH’s Governance structure.</w:t>
            </w:r>
          </w:p>
          <w:p w14:paraId="6A9F9961" w14:textId="77777777" w:rsidR="007A33E9" w:rsidRDefault="007A33E9" w:rsidP="007A33E9">
            <w:pPr>
              <w:pStyle w:val="NoSpacing"/>
              <w:numPr>
                <w:ilvl w:val="0"/>
                <w:numId w:val="31"/>
              </w:numPr>
              <w:rPr>
                <w:b/>
                <w:bCs/>
              </w:rPr>
            </w:pPr>
            <w:r w:rsidRPr="00C93CEC">
              <w:rPr>
                <w:b/>
                <w:bCs/>
              </w:rPr>
              <w:lastRenderedPageBreak/>
              <w:t>Approved the discontinuation of the measure TRAV02 and for NPH to liaise with WNC to agree its removal from the Management Agreement KPI suite.</w:t>
            </w:r>
          </w:p>
          <w:p w14:paraId="481B04DD" w14:textId="4D87B7B6" w:rsidR="00416AB6" w:rsidRPr="001A0A36" w:rsidRDefault="00416AB6" w:rsidP="00683383">
            <w:pPr>
              <w:pStyle w:val="NoSpacing"/>
              <w:ind w:left="720"/>
              <w:rPr>
                <w:b/>
                <w:bCs/>
              </w:rPr>
            </w:pPr>
          </w:p>
        </w:tc>
        <w:tc>
          <w:tcPr>
            <w:tcW w:w="1028" w:type="dxa"/>
            <w:gridSpan w:val="3"/>
            <w:shd w:val="clear" w:color="auto" w:fill="auto"/>
          </w:tcPr>
          <w:p w14:paraId="4F96666E" w14:textId="77777777" w:rsidR="00067CE7" w:rsidRPr="00241AF6" w:rsidRDefault="00067CE7" w:rsidP="00067CE7">
            <w:pPr>
              <w:pStyle w:val="NoSpacing"/>
            </w:pPr>
          </w:p>
        </w:tc>
      </w:tr>
      <w:tr w:rsidR="00067CE7" w:rsidRPr="00241AF6" w14:paraId="3BE384C8" w14:textId="77777777" w:rsidTr="008578AD">
        <w:tc>
          <w:tcPr>
            <w:tcW w:w="988" w:type="dxa"/>
            <w:gridSpan w:val="2"/>
            <w:shd w:val="clear" w:color="auto" w:fill="D9D9D9"/>
          </w:tcPr>
          <w:p w14:paraId="6FBBA24E" w14:textId="77777777" w:rsidR="00067CE7" w:rsidRPr="00241AF6" w:rsidRDefault="00067CE7" w:rsidP="00067CE7">
            <w:pPr>
              <w:rPr>
                <w:b/>
              </w:rPr>
            </w:pPr>
            <w:r w:rsidRPr="00241AF6">
              <w:rPr>
                <w:b/>
              </w:rPr>
              <w:t>Item 4</w:t>
            </w:r>
          </w:p>
        </w:tc>
        <w:tc>
          <w:tcPr>
            <w:tcW w:w="8255" w:type="dxa"/>
            <w:gridSpan w:val="8"/>
            <w:shd w:val="clear" w:color="auto" w:fill="D9D9D9"/>
          </w:tcPr>
          <w:p w14:paraId="0C4E88D2" w14:textId="77777777" w:rsidR="00067CE7" w:rsidRPr="00241AF6" w:rsidRDefault="00067CE7" w:rsidP="00067CE7">
            <w:pPr>
              <w:rPr>
                <w:b/>
              </w:rPr>
            </w:pPr>
            <w:r w:rsidRPr="00241AF6">
              <w:rPr>
                <w:b/>
              </w:rPr>
              <w:t>For Information</w:t>
            </w:r>
          </w:p>
        </w:tc>
      </w:tr>
      <w:tr w:rsidR="00067CE7" w:rsidRPr="00241AF6" w14:paraId="4BD48BA2" w14:textId="77777777" w:rsidTr="00804F8C">
        <w:tc>
          <w:tcPr>
            <w:tcW w:w="9243" w:type="dxa"/>
            <w:gridSpan w:val="10"/>
            <w:tcBorders>
              <w:bottom w:val="single" w:sz="4" w:space="0" w:color="auto"/>
            </w:tcBorders>
            <w:shd w:val="clear" w:color="auto" w:fill="D9D9D9"/>
          </w:tcPr>
          <w:p w14:paraId="2269B1BE" w14:textId="11626A6B" w:rsidR="00067CE7" w:rsidRPr="00241AF6" w:rsidRDefault="00067CE7" w:rsidP="00067CE7">
            <w:pPr>
              <w:rPr>
                <w:b/>
              </w:rPr>
            </w:pPr>
            <w:r w:rsidRPr="00241AF6">
              <w:rPr>
                <w:b/>
              </w:rPr>
              <w:t>Item 4.1:</w:t>
            </w:r>
            <w:r w:rsidR="001A0A36">
              <w:rPr>
                <w:b/>
              </w:rPr>
              <w:t xml:space="preserve">  Gender Pay Gap 2023</w:t>
            </w:r>
          </w:p>
        </w:tc>
      </w:tr>
      <w:tr w:rsidR="00067CE7" w:rsidRPr="00241AF6" w14:paraId="39B9977F" w14:textId="77777777" w:rsidTr="008578AD">
        <w:tc>
          <w:tcPr>
            <w:tcW w:w="988" w:type="dxa"/>
            <w:gridSpan w:val="2"/>
            <w:shd w:val="clear" w:color="auto" w:fill="auto"/>
          </w:tcPr>
          <w:p w14:paraId="33FD95E0" w14:textId="77777777" w:rsidR="00067CE7" w:rsidRPr="00241AF6" w:rsidRDefault="00067CE7" w:rsidP="00067CE7">
            <w:pPr>
              <w:pStyle w:val="NoSpacing"/>
            </w:pPr>
            <w:r>
              <w:t>4.1</w:t>
            </w:r>
          </w:p>
        </w:tc>
        <w:tc>
          <w:tcPr>
            <w:tcW w:w="7227" w:type="dxa"/>
            <w:gridSpan w:val="5"/>
            <w:shd w:val="clear" w:color="auto" w:fill="auto"/>
          </w:tcPr>
          <w:p w14:paraId="3431E82F" w14:textId="6615288F" w:rsidR="00067CE7" w:rsidRDefault="00124B6F" w:rsidP="00067CE7">
            <w:pPr>
              <w:pStyle w:val="NoSpacing"/>
            </w:pPr>
            <w:r>
              <w:t xml:space="preserve">The report was taken as read. </w:t>
            </w:r>
          </w:p>
          <w:p w14:paraId="122520D0" w14:textId="77777777" w:rsidR="00FA77BC" w:rsidRDefault="00FA77BC" w:rsidP="00067CE7">
            <w:pPr>
              <w:pStyle w:val="NoSpacing"/>
            </w:pPr>
          </w:p>
          <w:p w14:paraId="47CBDD89" w14:textId="1F3D6A56" w:rsidR="001A0A36" w:rsidRDefault="00F8472D" w:rsidP="00067CE7">
            <w:pPr>
              <w:pStyle w:val="NoSpacing"/>
            </w:pPr>
            <w:r>
              <w:t xml:space="preserve">The Board noted that the </w:t>
            </w:r>
            <w:r w:rsidR="00FA77BC">
              <w:t>results demonstrate that there is not a gender pay gap at NPH.</w:t>
            </w:r>
          </w:p>
          <w:p w14:paraId="2D6E4528" w14:textId="77777777" w:rsidR="001A0A36" w:rsidRDefault="001A0A36" w:rsidP="00067CE7">
            <w:pPr>
              <w:pStyle w:val="NoSpacing"/>
            </w:pPr>
          </w:p>
          <w:p w14:paraId="0B071621" w14:textId="77777777" w:rsidR="001A0A36" w:rsidRDefault="007A33E9" w:rsidP="00067CE7">
            <w:pPr>
              <w:pStyle w:val="NoSpacing"/>
              <w:rPr>
                <w:b/>
                <w:bCs/>
              </w:rPr>
            </w:pPr>
            <w:r>
              <w:rPr>
                <w:b/>
                <w:bCs/>
              </w:rPr>
              <w:t>The Board noted the contents of the report.</w:t>
            </w:r>
          </w:p>
          <w:p w14:paraId="226B8BEB" w14:textId="3C906889" w:rsidR="00416AB6" w:rsidRPr="001A0A36" w:rsidRDefault="00416AB6" w:rsidP="00067CE7">
            <w:pPr>
              <w:pStyle w:val="NoSpacing"/>
              <w:rPr>
                <w:b/>
                <w:bCs/>
              </w:rPr>
            </w:pPr>
          </w:p>
        </w:tc>
        <w:tc>
          <w:tcPr>
            <w:tcW w:w="1028" w:type="dxa"/>
            <w:gridSpan w:val="3"/>
            <w:shd w:val="clear" w:color="auto" w:fill="auto"/>
          </w:tcPr>
          <w:p w14:paraId="12E36C2C" w14:textId="77777777" w:rsidR="00067CE7" w:rsidRPr="00241AF6" w:rsidRDefault="00067CE7" w:rsidP="00067CE7">
            <w:pPr>
              <w:pStyle w:val="NoSpacing"/>
            </w:pPr>
          </w:p>
        </w:tc>
      </w:tr>
      <w:tr w:rsidR="00067CE7" w:rsidRPr="00241AF6" w14:paraId="2F688B20" w14:textId="77777777" w:rsidTr="004922E4">
        <w:tc>
          <w:tcPr>
            <w:tcW w:w="9243" w:type="dxa"/>
            <w:gridSpan w:val="10"/>
            <w:shd w:val="clear" w:color="auto" w:fill="D9D9D9"/>
          </w:tcPr>
          <w:p w14:paraId="1FF5AFDE" w14:textId="4472962C" w:rsidR="00067CE7" w:rsidRPr="00241AF6" w:rsidRDefault="00067CE7" w:rsidP="00067CE7">
            <w:pPr>
              <w:rPr>
                <w:b/>
              </w:rPr>
            </w:pPr>
            <w:r w:rsidRPr="00241AF6">
              <w:rPr>
                <w:b/>
                <w:color w:val="000000"/>
              </w:rPr>
              <w:t>Item</w:t>
            </w:r>
            <w:r w:rsidRPr="00241AF6">
              <w:rPr>
                <w:b/>
              </w:rPr>
              <w:t xml:space="preserve"> 4.2: </w:t>
            </w:r>
            <w:r w:rsidR="001A0A36">
              <w:rPr>
                <w:b/>
              </w:rPr>
              <w:t xml:space="preserve"> Q1 Finance Report</w:t>
            </w:r>
          </w:p>
        </w:tc>
      </w:tr>
      <w:tr w:rsidR="00067CE7" w:rsidRPr="00241AF6" w14:paraId="58A7C3D2" w14:textId="77777777" w:rsidTr="008578AD">
        <w:tc>
          <w:tcPr>
            <w:tcW w:w="988" w:type="dxa"/>
            <w:gridSpan w:val="2"/>
            <w:shd w:val="clear" w:color="auto" w:fill="auto"/>
          </w:tcPr>
          <w:p w14:paraId="58AE1C4C" w14:textId="77777777" w:rsidR="00067CE7" w:rsidRPr="00241AF6" w:rsidRDefault="00067CE7" w:rsidP="00067CE7">
            <w:pPr>
              <w:pStyle w:val="NoSpacing"/>
            </w:pPr>
            <w:r w:rsidRPr="00241AF6">
              <w:t>4.2</w:t>
            </w:r>
          </w:p>
        </w:tc>
        <w:tc>
          <w:tcPr>
            <w:tcW w:w="7227" w:type="dxa"/>
            <w:gridSpan w:val="5"/>
            <w:shd w:val="clear" w:color="auto" w:fill="auto"/>
          </w:tcPr>
          <w:p w14:paraId="557CAD2D" w14:textId="54C1E0DF" w:rsidR="00124B6F" w:rsidRDefault="00124B6F" w:rsidP="00124B6F">
            <w:pPr>
              <w:pStyle w:val="NoSpacing"/>
            </w:pPr>
            <w:r>
              <w:t xml:space="preserve">The report was taken as read. </w:t>
            </w:r>
          </w:p>
          <w:p w14:paraId="4C43B649" w14:textId="4B666241" w:rsidR="00067CE7" w:rsidRDefault="00067CE7" w:rsidP="00067CE7">
            <w:pPr>
              <w:pStyle w:val="NoSpacing"/>
            </w:pPr>
          </w:p>
          <w:p w14:paraId="31D433A0" w14:textId="470F1802" w:rsidR="00FA77BC" w:rsidRDefault="00FA77BC" w:rsidP="00067CE7">
            <w:pPr>
              <w:pStyle w:val="NoSpacing"/>
            </w:pPr>
            <w:r>
              <w:t>The Board discussed the major and minor voids and acknowledged the active management of these areas.</w:t>
            </w:r>
          </w:p>
          <w:p w14:paraId="4838F045" w14:textId="77777777" w:rsidR="00FA77BC" w:rsidRDefault="00FA77BC" w:rsidP="00067CE7">
            <w:pPr>
              <w:pStyle w:val="NoSpacing"/>
            </w:pPr>
          </w:p>
          <w:p w14:paraId="2726AFDE" w14:textId="780F313E" w:rsidR="009133D2" w:rsidRDefault="009133D2" w:rsidP="00067CE7">
            <w:pPr>
              <w:pStyle w:val="NoSpacing"/>
            </w:pPr>
            <w:r>
              <w:t>L</w:t>
            </w:r>
            <w:r w:rsidR="00FA77BC">
              <w:t>C</w:t>
            </w:r>
            <w:r>
              <w:t xml:space="preserve"> left meeting at 18:45</w:t>
            </w:r>
          </w:p>
          <w:p w14:paraId="6AA6F2DB" w14:textId="77777777" w:rsidR="001A0A36" w:rsidRDefault="001A0A36" w:rsidP="00067CE7">
            <w:pPr>
              <w:pStyle w:val="NoSpacing"/>
            </w:pPr>
          </w:p>
          <w:p w14:paraId="67E576ED" w14:textId="77777777" w:rsidR="001A0A36" w:rsidRDefault="007A33E9" w:rsidP="00067CE7">
            <w:pPr>
              <w:pStyle w:val="NoSpacing"/>
              <w:rPr>
                <w:b/>
                <w:bCs/>
              </w:rPr>
            </w:pPr>
            <w:r>
              <w:rPr>
                <w:b/>
                <w:bCs/>
              </w:rPr>
              <w:t>The Board noted the contents of the report.</w:t>
            </w:r>
          </w:p>
          <w:p w14:paraId="2A806900" w14:textId="600CD8C9" w:rsidR="00416AB6" w:rsidRPr="001A0A36" w:rsidRDefault="00416AB6" w:rsidP="00067CE7">
            <w:pPr>
              <w:pStyle w:val="NoSpacing"/>
              <w:rPr>
                <w:b/>
                <w:bCs/>
              </w:rPr>
            </w:pPr>
          </w:p>
        </w:tc>
        <w:tc>
          <w:tcPr>
            <w:tcW w:w="1028" w:type="dxa"/>
            <w:gridSpan w:val="3"/>
            <w:shd w:val="clear" w:color="auto" w:fill="auto"/>
          </w:tcPr>
          <w:p w14:paraId="1B48F33A" w14:textId="77777777" w:rsidR="00067CE7" w:rsidRPr="00241AF6" w:rsidRDefault="00067CE7" w:rsidP="00067CE7">
            <w:pPr>
              <w:pStyle w:val="NoSpacing"/>
            </w:pPr>
          </w:p>
        </w:tc>
      </w:tr>
      <w:tr w:rsidR="00067CE7" w:rsidRPr="00241AF6" w14:paraId="05B29E60" w14:textId="77777777" w:rsidTr="004922E4">
        <w:tc>
          <w:tcPr>
            <w:tcW w:w="9243" w:type="dxa"/>
            <w:gridSpan w:val="10"/>
            <w:shd w:val="clear" w:color="auto" w:fill="D9D9D9"/>
          </w:tcPr>
          <w:p w14:paraId="371041A1" w14:textId="0434D00E" w:rsidR="00067CE7" w:rsidRPr="00241AF6" w:rsidRDefault="00067CE7" w:rsidP="00067CE7">
            <w:pPr>
              <w:rPr>
                <w:b/>
              </w:rPr>
            </w:pPr>
            <w:r w:rsidRPr="00241AF6">
              <w:rPr>
                <w:b/>
                <w:color w:val="000000"/>
              </w:rPr>
              <w:t>Item</w:t>
            </w:r>
            <w:r w:rsidRPr="00241AF6">
              <w:rPr>
                <w:b/>
              </w:rPr>
              <w:t xml:space="preserve"> 4.3: </w:t>
            </w:r>
            <w:r w:rsidR="001A0A36">
              <w:rPr>
                <w:b/>
              </w:rPr>
              <w:t xml:space="preserve"> Complaints Annual Review</w:t>
            </w:r>
          </w:p>
        </w:tc>
      </w:tr>
      <w:tr w:rsidR="00067CE7" w:rsidRPr="00241AF6" w14:paraId="0593BAF7" w14:textId="77777777" w:rsidTr="008578AD">
        <w:tc>
          <w:tcPr>
            <w:tcW w:w="988" w:type="dxa"/>
            <w:gridSpan w:val="2"/>
            <w:shd w:val="clear" w:color="auto" w:fill="FFFFFF"/>
          </w:tcPr>
          <w:p w14:paraId="30727708" w14:textId="77777777" w:rsidR="00067CE7" w:rsidRPr="00241AF6" w:rsidRDefault="00067CE7" w:rsidP="00067CE7">
            <w:pPr>
              <w:pStyle w:val="NoSpacing"/>
            </w:pPr>
            <w:r w:rsidRPr="00241AF6">
              <w:t>4.3</w:t>
            </w:r>
          </w:p>
        </w:tc>
        <w:tc>
          <w:tcPr>
            <w:tcW w:w="7227" w:type="dxa"/>
            <w:gridSpan w:val="5"/>
            <w:shd w:val="clear" w:color="auto" w:fill="auto"/>
          </w:tcPr>
          <w:p w14:paraId="040B24A4" w14:textId="2CDCAC92" w:rsidR="00124B6F" w:rsidRDefault="00124B6F" w:rsidP="00124B6F">
            <w:pPr>
              <w:pStyle w:val="NoSpacing"/>
            </w:pPr>
            <w:r>
              <w:t xml:space="preserve">The report was taken as read. </w:t>
            </w:r>
          </w:p>
          <w:p w14:paraId="3E84A0DA" w14:textId="4EF328FD" w:rsidR="001A0A36" w:rsidRDefault="001A0A36" w:rsidP="00124B6F">
            <w:pPr>
              <w:pStyle w:val="NoSpacing"/>
            </w:pPr>
          </w:p>
          <w:p w14:paraId="247B0C51" w14:textId="3FCC5BBB" w:rsidR="001A0A36" w:rsidRDefault="00FA77BC" w:rsidP="00067CE7">
            <w:pPr>
              <w:pStyle w:val="NoSpacing"/>
            </w:pPr>
            <w:r>
              <w:t xml:space="preserve">The Board </w:t>
            </w:r>
            <w:r w:rsidR="00D46B16">
              <w:t>discussed</w:t>
            </w:r>
            <w:r>
              <w:t xml:space="preserve"> the changes to the policy that have had the impact of removing the pre-complaint stage of the process, which has meant the previous NPH Quick Win stage was removed. Th</w:t>
            </w:r>
            <w:r w:rsidR="00D46B16">
              <w:t>is</w:t>
            </w:r>
            <w:r>
              <w:t xml:space="preserve"> resulted in</w:t>
            </w:r>
            <w:r w:rsidR="00D46B16">
              <w:t xml:space="preserve"> an</w:t>
            </w:r>
            <w:r>
              <w:t xml:space="preserve"> increase from 49 to 505 complaints year on year.</w:t>
            </w:r>
          </w:p>
          <w:p w14:paraId="15EB8414" w14:textId="77777777" w:rsidR="001A0A36" w:rsidRDefault="001A0A36" w:rsidP="00067CE7">
            <w:pPr>
              <w:pStyle w:val="NoSpacing"/>
            </w:pPr>
          </w:p>
          <w:p w14:paraId="7E4DB051" w14:textId="77777777" w:rsidR="001A0A36" w:rsidRDefault="007A33E9" w:rsidP="00067CE7">
            <w:pPr>
              <w:pStyle w:val="NoSpacing"/>
              <w:rPr>
                <w:b/>
                <w:bCs/>
              </w:rPr>
            </w:pPr>
            <w:r>
              <w:rPr>
                <w:b/>
                <w:bCs/>
              </w:rPr>
              <w:t>The Board noted the annual review of complaints.</w:t>
            </w:r>
          </w:p>
          <w:p w14:paraId="324D438D" w14:textId="31B816C1" w:rsidR="00416AB6" w:rsidRPr="001A0A36" w:rsidRDefault="00416AB6" w:rsidP="00067CE7">
            <w:pPr>
              <w:pStyle w:val="NoSpacing"/>
              <w:rPr>
                <w:b/>
                <w:bCs/>
              </w:rPr>
            </w:pPr>
          </w:p>
        </w:tc>
        <w:tc>
          <w:tcPr>
            <w:tcW w:w="1028" w:type="dxa"/>
            <w:gridSpan w:val="3"/>
            <w:shd w:val="clear" w:color="auto" w:fill="auto"/>
          </w:tcPr>
          <w:p w14:paraId="5925434D" w14:textId="77777777" w:rsidR="00067CE7" w:rsidRPr="00241AF6" w:rsidRDefault="00067CE7" w:rsidP="00067CE7">
            <w:pPr>
              <w:pStyle w:val="NoSpacing"/>
            </w:pPr>
          </w:p>
        </w:tc>
      </w:tr>
      <w:tr w:rsidR="001A0A36" w:rsidRPr="00241AF6" w14:paraId="1BC4FD3D" w14:textId="77777777" w:rsidTr="004922E4">
        <w:tc>
          <w:tcPr>
            <w:tcW w:w="9243" w:type="dxa"/>
            <w:gridSpan w:val="10"/>
            <w:shd w:val="clear" w:color="auto" w:fill="D9D9D9"/>
          </w:tcPr>
          <w:p w14:paraId="14B5C14A" w14:textId="2B705249" w:rsidR="001A0A36" w:rsidRPr="00241AF6" w:rsidRDefault="001A0A36" w:rsidP="00067CE7">
            <w:pPr>
              <w:rPr>
                <w:b/>
                <w:color w:val="000000"/>
              </w:rPr>
            </w:pPr>
            <w:r>
              <w:rPr>
                <w:b/>
                <w:color w:val="000000"/>
              </w:rPr>
              <w:t xml:space="preserve">Item 4.4:  Q1 </w:t>
            </w:r>
            <w:r w:rsidR="00BD045D">
              <w:rPr>
                <w:b/>
                <w:color w:val="000000"/>
              </w:rPr>
              <w:t>Corporate Plan Progress Report</w:t>
            </w:r>
          </w:p>
        </w:tc>
      </w:tr>
      <w:tr w:rsidR="001A0A36" w:rsidRPr="00241AF6" w14:paraId="5C409314" w14:textId="17260962" w:rsidTr="008578AD">
        <w:tc>
          <w:tcPr>
            <w:tcW w:w="988" w:type="dxa"/>
            <w:gridSpan w:val="2"/>
            <w:shd w:val="clear" w:color="auto" w:fill="auto"/>
          </w:tcPr>
          <w:p w14:paraId="0D99B1A4" w14:textId="7862D559" w:rsidR="001A0A36" w:rsidRPr="001A0A36" w:rsidRDefault="001A0A36" w:rsidP="00067CE7">
            <w:pPr>
              <w:rPr>
                <w:bCs/>
                <w:color w:val="000000"/>
              </w:rPr>
            </w:pPr>
            <w:r>
              <w:rPr>
                <w:bCs/>
                <w:color w:val="000000"/>
              </w:rPr>
              <w:t>4.4</w:t>
            </w:r>
          </w:p>
        </w:tc>
        <w:tc>
          <w:tcPr>
            <w:tcW w:w="7205" w:type="dxa"/>
            <w:gridSpan w:val="3"/>
            <w:shd w:val="clear" w:color="auto" w:fill="auto"/>
          </w:tcPr>
          <w:p w14:paraId="1DCA7288" w14:textId="28D5238C" w:rsidR="00124B6F" w:rsidRDefault="00124B6F" w:rsidP="00124B6F">
            <w:pPr>
              <w:pStyle w:val="NoSpacing"/>
            </w:pPr>
            <w:r>
              <w:t xml:space="preserve">The report was taken as read. </w:t>
            </w:r>
          </w:p>
          <w:p w14:paraId="73BC2D44" w14:textId="77777777" w:rsidR="00D46B16" w:rsidRDefault="00D46B16" w:rsidP="001A0A36">
            <w:pPr>
              <w:spacing w:after="0"/>
            </w:pPr>
          </w:p>
          <w:p w14:paraId="669A69C5" w14:textId="0BA929FB" w:rsidR="00D46B16" w:rsidRDefault="00D46B16" w:rsidP="001A0A36">
            <w:pPr>
              <w:spacing w:after="0"/>
            </w:pPr>
            <w:r>
              <w:t>The Board were provided with a progress update on the achievement of NPH Corporate Plan objectives and actions.</w:t>
            </w:r>
          </w:p>
          <w:p w14:paraId="150C15B3" w14:textId="77777777" w:rsidR="00D46B16" w:rsidRDefault="00D46B16" w:rsidP="001A0A36">
            <w:pPr>
              <w:spacing w:after="0"/>
            </w:pPr>
          </w:p>
          <w:p w14:paraId="20CA9A3E" w14:textId="77777777" w:rsidR="001A0A36" w:rsidRDefault="007A33E9" w:rsidP="001A0A36">
            <w:pPr>
              <w:spacing w:after="0"/>
              <w:rPr>
                <w:b/>
                <w:color w:val="000000"/>
              </w:rPr>
            </w:pPr>
            <w:r>
              <w:rPr>
                <w:b/>
                <w:color w:val="000000"/>
              </w:rPr>
              <w:t>The Board noted the contents of the report and the categorisation and update against actions.</w:t>
            </w:r>
          </w:p>
          <w:p w14:paraId="3F8A41A3" w14:textId="058A2C1A" w:rsidR="00416AB6" w:rsidRPr="001A0A36" w:rsidRDefault="00416AB6" w:rsidP="001A0A36">
            <w:pPr>
              <w:spacing w:after="0"/>
              <w:rPr>
                <w:b/>
                <w:color w:val="000000"/>
              </w:rPr>
            </w:pPr>
          </w:p>
        </w:tc>
        <w:tc>
          <w:tcPr>
            <w:tcW w:w="1050" w:type="dxa"/>
            <w:gridSpan w:val="5"/>
            <w:shd w:val="clear" w:color="auto" w:fill="auto"/>
          </w:tcPr>
          <w:p w14:paraId="2942C5C0" w14:textId="77777777" w:rsidR="001A0A36" w:rsidRPr="00241AF6" w:rsidRDefault="001A0A36" w:rsidP="00067CE7">
            <w:pPr>
              <w:rPr>
                <w:b/>
                <w:color w:val="000000"/>
              </w:rPr>
            </w:pPr>
          </w:p>
        </w:tc>
      </w:tr>
      <w:tr w:rsidR="001A0A36" w:rsidRPr="00241AF6" w14:paraId="2B67DF8D" w14:textId="77777777" w:rsidTr="004922E4">
        <w:tc>
          <w:tcPr>
            <w:tcW w:w="9243" w:type="dxa"/>
            <w:gridSpan w:val="10"/>
            <w:shd w:val="clear" w:color="auto" w:fill="D9D9D9"/>
          </w:tcPr>
          <w:p w14:paraId="5E34D1F7" w14:textId="22A85DC3" w:rsidR="001A0A36" w:rsidRPr="00241AF6" w:rsidRDefault="001A0A36" w:rsidP="00067CE7">
            <w:pPr>
              <w:rPr>
                <w:b/>
                <w:color w:val="000000"/>
              </w:rPr>
            </w:pPr>
            <w:r>
              <w:rPr>
                <w:b/>
                <w:color w:val="000000"/>
              </w:rPr>
              <w:lastRenderedPageBreak/>
              <w:t>Item 4.</w:t>
            </w:r>
            <w:r w:rsidR="008578AD">
              <w:rPr>
                <w:b/>
                <w:color w:val="000000"/>
              </w:rPr>
              <w:t>5</w:t>
            </w:r>
            <w:r>
              <w:rPr>
                <w:b/>
                <w:color w:val="000000"/>
              </w:rPr>
              <w:t>:  CEO Update</w:t>
            </w:r>
          </w:p>
        </w:tc>
      </w:tr>
      <w:tr w:rsidR="001A0A36" w:rsidRPr="00241AF6" w14:paraId="0BB13BC8" w14:textId="30713A71" w:rsidTr="008578AD">
        <w:tc>
          <w:tcPr>
            <w:tcW w:w="988" w:type="dxa"/>
            <w:gridSpan w:val="2"/>
            <w:shd w:val="clear" w:color="auto" w:fill="auto"/>
          </w:tcPr>
          <w:p w14:paraId="6AF9C96D" w14:textId="1D997806" w:rsidR="001A0A36" w:rsidRPr="001A0A36" w:rsidRDefault="001A0A36" w:rsidP="00067CE7">
            <w:pPr>
              <w:rPr>
                <w:bCs/>
                <w:color w:val="000000"/>
              </w:rPr>
            </w:pPr>
            <w:r>
              <w:rPr>
                <w:bCs/>
                <w:color w:val="000000"/>
              </w:rPr>
              <w:t>4.</w:t>
            </w:r>
            <w:r w:rsidR="008578AD">
              <w:rPr>
                <w:bCs/>
                <w:color w:val="000000"/>
              </w:rPr>
              <w:t>5</w:t>
            </w:r>
          </w:p>
        </w:tc>
        <w:tc>
          <w:tcPr>
            <w:tcW w:w="7168" w:type="dxa"/>
            <w:gridSpan w:val="2"/>
            <w:shd w:val="clear" w:color="auto" w:fill="auto"/>
          </w:tcPr>
          <w:p w14:paraId="42EA9524" w14:textId="13C188C7" w:rsidR="00124B6F" w:rsidRDefault="00124B6F" w:rsidP="00124B6F">
            <w:pPr>
              <w:pStyle w:val="NoSpacing"/>
            </w:pPr>
            <w:r>
              <w:t xml:space="preserve">The report was taken as read. </w:t>
            </w:r>
          </w:p>
          <w:p w14:paraId="35E5D74F" w14:textId="6358AC2C" w:rsidR="00124B6F" w:rsidRDefault="00124B6F" w:rsidP="00124B6F">
            <w:pPr>
              <w:spacing w:after="0"/>
              <w:rPr>
                <w:bCs/>
                <w:color w:val="000000"/>
              </w:rPr>
            </w:pPr>
          </w:p>
          <w:p w14:paraId="5BD1F504" w14:textId="72711468" w:rsidR="00D855D1" w:rsidRDefault="00D855D1" w:rsidP="00124B6F">
            <w:pPr>
              <w:spacing w:after="0"/>
              <w:rPr>
                <w:bCs/>
                <w:color w:val="000000"/>
              </w:rPr>
            </w:pPr>
            <w:r>
              <w:rPr>
                <w:bCs/>
                <w:color w:val="000000"/>
              </w:rPr>
              <w:t>The Board discussed the current position with office accommodation and noted that discussions are on-going with WNC to find a solution that is acceptable to all parties.</w:t>
            </w:r>
          </w:p>
          <w:p w14:paraId="7728C29A" w14:textId="77777777" w:rsidR="00416AB6" w:rsidRDefault="00416AB6" w:rsidP="00124B6F">
            <w:pPr>
              <w:spacing w:after="0"/>
              <w:rPr>
                <w:bCs/>
                <w:color w:val="000000"/>
              </w:rPr>
            </w:pPr>
          </w:p>
          <w:p w14:paraId="65F7A851" w14:textId="29C141AF" w:rsidR="00D855D1" w:rsidRDefault="00D855D1" w:rsidP="00124B6F">
            <w:pPr>
              <w:spacing w:after="0"/>
              <w:rPr>
                <w:bCs/>
                <w:color w:val="000000"/>
              </w:rPr>
            </w:pPr>
            <w:r>
              <w:rPr>
                <w:bCs/>
                <w:color w:val="000000"/>
              </w:rPr>
              <w:t>The development programme was discussed includ</w:t>
            </w:r>
            <w:r w:rsidR="00416AB6">
              <w:rPr>
                <w:bCs/>
                <w:color w:val="000000"/>
              </w:rPr>
              <w:t xml:space="preserve">ing the consideration of alternative options for the </w:t>
            </w:r>
            <w:r>
              <w:rPr>
                <w:bCs/>
                <w:color w:val="000000"/>
              </w:rPr>
              <w:t>Avenue Campus development. Viable alternative options are being explored with WNC that can be supported by Homes England including the potential disposal of the site to private developers.</w:t>
            </w:r>
          </w:p>
          <w:p w14:paraId="5E79E1AC" w14:textId="77777777" w:rsidR="00416AB6" w:rsidRDefault="00416AB6" w:rsidP="00124B6F">
            <w:pPr>
              <w:spacing w:after="0"/>
              <w:rPr>
                <w:bCs/>
                <w:color w:val="000000"/>
              </w:rPr>
            </w:pPr>
          </w:p>
          <w:p w14:paraId="08D47EC6" w14:textId="04D3639F" w:rsidR="00124B6F" w:rsidRDefault="00D855D1" w:rsidP="00124B6F">
            <w:pPr>
              <w:spacing w:after="0"/>
              <w:rPr>
                <w:bCs/>
                <w:color w:val="000000"/>
              </w:rPr>
            </w:pPr>
            <w:r>
              <w:rPr>
                <w:bCs/>
                <w:color w:val="000000"/>
              </w:rPr>
              <w:t>The Board asked for specific information around the timeline from the start of the project to the</w:t>
            </w:r>
            <w:r w:rsidR="005E4872">
              <w:rPr>
                <w:bCs/>
                <w:color w:val="000000"/>
              </w:rPr>
              <w:t xml:space="preserve"> decision to</w:t>
            </w:r>
            <w:r>
              <w:rPr>
                <w:bCs/>
                <w:color w:val="000000"/>
              </w:rPr>
              <w:t xml:space="preserve"> discontin</w:t>
            </w:r>
            <w:r w:rsidR="005E4872">
              <w:rPr>
                <w:bCs/>
                <w:color w:val="000000"/>
              </w:rPr>
              <w:t>ue</w:t>
            </w:r>
            <w:r>
              <w:rPr>
                <w:bCs/>
                <w:color w:val="000000"/>
              </w:rPr>
              <w:t>.</w:t>
            </w:r>
          </w:p>
          <w:p w14:paraId="3CA17FF6" w14:textId="77777777" w:rsidR="00416AB6" w:rsidRDefault="00416AB6" w:rsidP="00124B6F">
            <w:pPr>
              <w:spacing w:after="0"/>
              <w:rPr>
                <w:bCs/>
                <w:color w:val="000000"/>
              </w:rPr>
            </w:pPr>
          </w:p>
          <w:p w14:paraId="28288E15" w14:textId="0174F3E3" w:rsidR="00D855D1" w:rsidRDefault="00D855D1" w:rsidP="00124B6F">
            <w:pPr>
              <w:spacing w:after="0"/>
              <w:rPr>
                <w:bCs/>
                <w:color w:val="000000"/>
              </w:rPr>
            </w:pPr>
            <w:r>
              <w:rPr>
                <w:bCs/>
                <w:color w:val="000000"/>
              </w:rPr>
              <w:t>The changes to the allocation policy were discussed. The Board noted the key changes</w:t>
            </w:r>
            <w:r w:rsidR="00683383">
              <w:rPr>
                <w:bCs/>
                <w:color w:val="000000"/>
              </w:rPr>
              <w:t xml:space="preserve"> </w:t>
            </w:r>
            <w:r w:rsidR="00416AB6">
              <w:rPr>
                <w:bCs/>
                <w:color w:val="000000"/>
              </w:rPr>
              <w:t>and the potential impacts on NPH</w:t>
            </w:r>
          </w:p>
          <w:p w14:paraId="257774F4" w14:textId="77777777" w:rsidR="00416AB6" w:rsidRDefault="00416AB6" w:rsidP="00D855D1">
            <w:pPr>
              <w:spacing w:after="0"/>
              <w:rPr>
                <w:bCs/>
                <w:color w:val="000000"/>
              </w:rPr>
            </w:pPr>
          </w:p>
          <w:p w14:paraId="238D0CE7" w14:textId="1184B302" w:rsidR="00D855D1" w:rsidRDefault="00D855D1" w:rsidP="00D855D1">
            <w:pPr>
              <w:spacing w:after="0"/>
              <w:rPr>
                <w:bCs/>
                <w:color w:val="000000"/>
              </w:rPr>
            </w:pPr>
            <w:r w:rsidRPr="004E2F89">
              <w:rPr>
                <w:bCs/>
                <w:color w:val="000000"/>
              </w:rPr>
              <w:t xml:space="preserve">The </w:t>
            </w:r>
            <w:r w:rsidR="00416AB6">
              <w:rPr>
                <w:bCs/>
                <w:color w:val="000000"/>
              </w:rPr>
              <w:t xml:space="preserve">Board welcomed the opportunity to consider the </w:t>
            </w:r>
            <w:r w:rsidRPr="004E2F89">
              <w:rPr>
                <w:bCs/>
                <w:color w:val="000000"/>
              </w:rPr>
              <w:t xml:space="preserve">RSH </w:t>
            </w:r>
            <w:r w:rsidR="004E2F89" w:rsidRPr="004E2F89">
              <w:rPr>
                <w:bCs/>
                <w:color w:val="000000"/>
              </w:rPr>
              <w:t xml:space="preserve">Consumer Standards </w:t>
            </w:r>
            <w:r w:rsidRPr="004E2F89">
              <w:rPr>
                <w:bCs/>
                <w:color w:val="000000"/>
              </w:rPr>
              <w:t xml:space="preserve">Consultation </w:t>
            </w:r>
            <w:r w:rsidR="00416AB6">
              <w:rPr>
                <w:bCs/>
                <w:color w:val="000000"/>
              </w:rPr>
              <w:t xml:space="preserve">and </w:t>
            </w:r>
            <w:r w:rsidR="004E2F89">
              <w:rPr>
                <w:bCs/>
                <w:color w:val="000000"/>
              </w:rPr>
              <w:t>sessions will be set-up in September to get feedback from the Board.</w:t>
            </w:r>
          </w:p>
          <w:p w14:paraId="75FB3BDB" w14:textId="77777777" w:rsidR="00416AB6" w:rsidRDefault="00416AB6" w:rsidP="00D855D1">
            <w:pPr>
              <w:spacing w:after="0"/>
              <w:rPr>
                <w:b/>
                <w:color w:val="000000"/>
              </w:rPr>
            </w:pPr>
          </w:p>
          <w:p w14:paraId="6A744146" w14:textId="77777777" w:rsidR="001A0A36" w:rsidRDefault="00BF5398" w:rsidP="00D855D1">
            <w:pPr>
              <w:spacing w:after="0"/>
              <w:rPr>
                <w:b/>
                <w:color w:val="000000"/>
              </w:rPr>
            </w:pPr>
            <w:r>
              <w:rPr>
                <w:b/>
                <w:color w:val="000000"/>
              </w:rPr>
              <w:t>The Board noted the contents of the report.</w:t>
            </w:r>
          </w:p>
          <w:p w14:paraId="69A04EC8" w14:textId="42344628" w:rsidR="00416AB6" w:rsidRPr="001A0A36" w:rsidRDefault="00416AB6" w:rsidP="00D855D1">
            <w:pPr>
              <w:spacing w:after="0"/>
              <w:rPr>
                <w:b/>
                <w:color w:val="000000"/>
              </w:rPr>
            </w:pPr>
          </w:p>
        </w:tc>
        <w:tc>
          <w:tcPr>
            <w:tcW w:w="1087" w:type="dxa"/>
            <w:gridSpan w:val="6"/>
            <w:shd w:val="clear" w:color="auto" w:fill="auto"/>
          </w:tcPr>
          <w:p w14:paraId="02DBC7CA" w14:textId="77777777" w:rsidR="001A0A36" w:rsidRPr="00241AF6" w:rsidRDefault="001A0A36" w:rsidP="00067CE7">
            <w:pPr>
              <w:rPr>
                <w:b/>
                <w:color w:val="000000"/>
              </w:rPr>
            </w:pPr>
          </w:p>
        </w:tc>
      </w:tr>
      <w:tr w:rsidR="001A0A36" w:rsidRPr="00241AF6" w14:paraId="4EABB543" w14:textId="77777777" w:rsidTr="004922E4">
        <w:tc>
          <w:tcPr>
            <w:tcW w:w="9243" w:type="dxa"/>
            <w:gridSpan w:val="10"/>
            <w:shd w:val="clear" w:color="auto" w:fill="D9D9D9"/>
          </w:tcPr>
          <w:p w14:paraId="0054C239" w14:textId="09566F84" w:rsidR="001A0A36" w:rsidRPr="00241AF6" w:rsidRDefault="001A0A36" w:rsidP="00067CE7">
            <w:pPr>
              <w:rPr>
                <w:b/>
                <w:color w:val="000000"/>
              </w:rPr>
            </w:pPr>
            <w:r>
              <w:rPr>
                <w:b/>
                <w:color w:val="000000"/>
              </w:rPr>
              <w:t>Item 4.</w:t>
            </w:r>
            <w:r w:rsidR="008578AD">
              <w:rPr>
                <w:b/>
                <w:color w:val="000000"/>
              </w:rPr>
              <w:t>6</w:t>
            </w:r>
            <w:r>
              <w:rPr>
                <w:b/>
                <w:color w:val="000000"/>
              </w:rPr>
              <w:t xml:space="preserve">:  </w:t>
            </w:r>
            <w:r w:rsidRPr="00FA08B3">
              <w:rPr>
                <w:rFonts w:cs="Arial"/>
                <w:b/>
              </w:rPr>
              <w:t xml:space="preserve"> Chairs Update </w:t>
            </w:r>
            <w:r w:rsidRPr="00FA08B3">
              <w:rPr>
                <w:rFonts w:cs="Arial"/>
                <w:bCs/>
                <w:i/>
                <w:iCs/>
              </w:rPr>
              <w:t>verbal</w:t>
            </w:r>
          </w:p>
        </w:tc>
      </w:tr>
      <w:tr w:rsidR="001A0A36" w:rsidRPr="00241AF6" w14:paraId="27D2702C" w14:textId="24A464AC" w:rsidTr="008578AD">
        <w:tc>
          <w:tcPr>
            <w:tcW w:w="988" w:type="dxa"/>
            <w:gridSpan w:val="2"/>
            <w:shd w:val="clear" w:color="auto" w:fill="auto"/>
          </w:tcPr>
          <w:p w14:paraId="466EE84B" w14:textId="3B83C016" w:rsidR="001A0A36" w:rsidRPr="001A0A36" w:rsidRDefault="001A0A36" w:rsidP="00067CE7">
            <w:pPr>
              <w:rPr>
                <w:bCs/>
                <w:color w:val="000000"/>
              </w:rPr>
            </w:pPr>
            <w:r>
              <w:rPr>
                <w:bCs/>
                <w:color w:val="000000"/>
              </w:rPr>
              <w:t>4.</w:t>
            </w:r>
            <w:r w:rsidR="008578AD">
              <w:rPr>
                <w:bCs/>
                <w:color w:val="000000"/>
              </w:rPr>
              <w:t>6</w:t>
            </w:r>
          </w:p>
        </w:tc>
        <w:tc>
          <w:tcPr>
            <w:tcW w:w="7205" w:type="dxa"/>
            <w:gridSpan w:val="3"/>
            <w:shd w:val="clear" w:color="auto" w:fill="auto"/>
          </w:tcPr>
          <w:p w14:paraId="69927024" w14:textId="35121D9A" w:rsidR="00124B6F" w:rsidRDefault="00124B6F" w:rsidP="00133786">
            <w:pPr>
              <w:spacing w:after="0"/>
              <w:rPr>
                <w:bCs/>
                <w:color w:val="000000"/>
              </w:rPr>
            </w:pPr>
            <w:r w:rsidRPr="00D165E6">
              <w:rPr>
                <w:bCs/>
                <w:color w:val="000000"/>
              </w:rPr>
              <w:t xml:space="preserve">The </w:t>
            </w:r>
            <w:r>
              <w:rPr>
                <w:bCs/>
                <w:color w:val="000000"/>
              </w:rPr>
              <w:t xml:space="preserve">Chair updated the Board on his current activities including </w:t>
            </w:r>
            <w:r w:rsidR="00133786">
              <w:rPr>
                <w:bCs/>
                <w:color w:val="000000"/>
              </w:rPr>
              <w:t>o</w:t>
            </w:r>
            <w:r w:rsidR="00471311" w:rsidRPr="00133786">
              <w:rPr>
                <w:bCs/>
                <w:color w:val="000000"/>
              </w:rPr>
              <w:t xml:space="preserve">ngoing dialogue with WNC to improve </w:t>
            </w:r>
            <w:r w:rsidR="00133786">
              <w:rPr>
                <w:bCs/>
                <w:color w:val="000000"/>
              </w:rPr>
              <w:t xml:space="preserve">the </w:t>
            </w:r>
            <w:r w:rsidR="00471311" w:rsidRPr="00133786">
              <w:rPr>
                <w:bCs/>
                <w:color w:val="000000"/>
              </w:rPr>
              <w:t>working relationship</w:t>
            </w:r>
            <w:r w:rsidR="00133786">
              <w:rPr>
                <w:bCs/>
                <w:color w:val="000000"/>
              </w:rPr>
              <w:t>. This</w:t>
            </w:r>
            <w:r w:rsidR="00471311" w:rsidRPr="00133786">
              <w:rPr>
                <w:bCs/>
                <w:color w:val="000000"/>
              </w:rPr>
              <w:t xml:space="preserve"> seems to be working</w:t>
            </w:r>
            <w:r w:rsidR="00133786">
              <w:rPr>
                <w:bCs/>
                <w:color w:val="000000"/>
              </w:rPr>
              <w:t xml:space="preserve"> better and feedback has been </w:t>
            </w:r>
            <w:r w:rsidR="00471311" w:rsidRPr="00133786">
              <w:rPr>
                <w:bCs/>
                <w:color w:val="000000"/>
              </w:rPr>
              <w:t>very positive</w:t>
            </w:r>
            <w:r w:rsidR="00133786">
              <w:rPr>
                <w:bCs/>
                <w:color w:val="000000"/>
              </w:rPr>
              <w:t>.</w:t>
            </w:r>
          </w:p>
          <w:p w14:paraId="13067B48" w14:textId="77777777" w:rsidR="00133786" w:rsidRDefault="00133786" w:rsidP="00133786">
            <w:pPr>
              <w:spacing w:after="0"/>
              <w:rPr>
                <w:bCs/>
                <w:color w:val="000000"/>
              </w:rPr>
            </w:pPr>
          </w:p>
          <w:p w14:paraId="07D44E95" w14:textId="65BB81E1" w:rsidR="00133786" w:rsidRDefault="00133786" w:rsidP="00133786">
            <w:pPr>
              <w:spacing w:after="0"/>
              <w:rPr>
                <w:bCs/>
                <w:color w:val="000000"/>
              </w:rPr>
            </w:pPr>
            <w:r>
              <w:rPr>
                <w:bCs/>
                <w:color w:val="000000"/>
              </w:rPr>
              <w:t xml:space="preserve">The Chair gave an update on a recent issue that business insurance was refused for him personally as NPH were subject to a County Court Judgement (CCJ). NPH have applied to have the CCJ removed as they had paid the debt. It is clear that this should not have been attached to an individual director. </w:t>
            </w:r>
          </w:p>
          <w:p w14:paraId="2D8D5607" w14:textId="77777777" w:rsidR="00133786" w:rsidRDefault="00133786" w:rsidP="00133786">
            <w:pPr>
              <w:spacing w:after="0"/>
              <w:rPr>
                <w:bCs/>
                <w:color w:val="000000"/>
              </w:rPr>
            </w:pPr>
          </w:p>
          <w:p w14:paraId="5B6F11FE" w14:textId="5C38F29A" w:rsidR="001A0A36" w:rsidRDefault="00133786" w:rsidP="00133786">
            <w:pPr>
              <w:spacing w:after="0"/>
              <w:rPr>
                <w:bCs/>
                <w:color w:val="000000"/>
              </w:rPr>
            </w:pPr>
            <w:r>
              <w:rPr>
                <w:bCs/>
                <w:color w:val="000000"/>
              </w:rPr>
              <w:t>The Chair noted the</w:t>
            </w:r>
            <w:r w:rsidR="00D36A1D" w:rsidRPr="00133786">
              <w:rPr>
                <w:bCs/>
                <w:color w:val="000000"/>
              </w:rPr>
              <w:t xml:space="preserve"> </w:t>
            </w:r>
            <w:r>
              <w:rPr>
                <w:bCs/>
                <w:color w:val="000000"/>
              </w:rPr>
              <w:t xml:space="preserve">information </w:t>
            </w:r>
            <w:r w:rsidR="00D36A1D" w:rsidRPr="00133786">
              <w:rPr>
                <w:bCs/>
                <w:color w:val="000000"/>
              </w:rPr>
              <w:t xml:space="preserve">from the </w:t>
            </w:r>
            <w:r>
              <w:rPr>
                <w:bCs/>
                <w:color w:val="000000"/>
              </w:rPr>
              <w:t>RSH new standards</w:t>
            </w:r>
            <w:r w:rsidR="00D36A1D" w:rsidRPr="00133786">
              <w:rPr>
                <w:bCs/>
                <w:color w:val="000000"/>
              </w:rPr>
              <w:t xml:space="preserve"> workshop</w:t>
            </w:r>
            <w:r>
              <w:rPr>
                <w:bCs/>
                <w:color w:val="000000"/>
              </w:rPr>
              <w:t xml:space="preserve"> and </w:t>
            </w:r>
            <w:r w:rsidR="00416AB6">
              <w:rPr>
                <w:bCs/>
                <w:color w:val="000000"/>
              </w:rPr>
              <w:t xml:space="preserve">commented </w:t>
            </w:r>
            <w:r>
              <w:rPr>
                <w:bCs/>
                <w:color w:val="000000"/>
              </w:rPr>
              <w:t>that</w:t>
            </w:r>
            <w:r w:rsidR="00D36A1D" w:rsidRPr="00133786">
              <w:rPr>
                <w:bCs/>
                <w:color w:val="000000"/>
              </w:rPr>
              <w:t xml:space="preserve"> there are some implications for the board to make sure duties are carried out properly</w:t>
            </w:r>
            <w:r>
              <w:rPr>
                <w:bCs/>
                <w:color w:val="000000"/>
              </w:rPr>
              <w:t>.</w:t>
            </w:r>
          </w:p>
          <w:p w14:paraId="1EECB7D0" w14:textId="77777777" w:rsidR="00D0047B" w:rsidRPr="00133786" w:rsidRDefault="00D0047B" w:rsidP="00133786">
            <w:pPr>
              <w:spacing w:after="0"/>
              <w:rPr>
                <w:bCs/>
                <w:color w:val="000000"/>
              </w:rPr>
            </w:pPr>
          </w:p>
          <w:p w14:paraId="3D6A44A0" w14:textId="2AD972ED" w:rsidR="00D0047B" w:rsidRDefault="00D0047B" w:rsidP="00D0047B">
            <w:pPr>
              <w:pStyle w:val="NoSpacing"/>
            </w:pPr>
            <w:r>
              <w:t>The Chair gave thanks to the two outgoing directors for all their hard work and dedication.</w:t>
            </w:r>
          </w:p>
          <w:p w14:paraId="67542A4C" w14:textId="39325837" w:rsidR="001A0A36" w:rsidRPr="001A0A36" w:rsidRDefault="001A0A36" w:rsidP="00D855D1">
            <w:pPr>
              <w:pStyle w:val="NoSpacing"/>
              <w:rPr>
                <w:b/>
                <w:color w:val="000000"/>
              </w:rPr>
            </w:pPr>
          </w:p>
        </w:tc>
        <w:tc>
          <w:tcPr>
            <w:tcW w:w="1050" w:type="dxa"/>
            <w:gridSpan w:val="5"/>
            <w:shd w:val="clear" w:color="auto" w:fill="auto"/>
          </w:tcPr>
          <w:p w14:paraId="51B6DE38" w14:textId="77777777" w:rsidR="001A0A36" w:rsidRPr="00241AF6" w:rsidRDefault="001A0A36" w:rsidP="00067CE7">
            <w:pPr>
              <w:rPr>
                <w:b/>
                <w:color w:val="000000"/>
              </w:rPr>
            </w:pPr>
          </w:p>
        </w:tc>
      </w:tr>
      <w:tr w:rsidR="00067CE7" w:rsidRPr="00241AF6" w14:paraId="157A9DF8" w14:textId="77777777" w:rsidTr="004922E4">
        <w:tc>
          <w:tcPr>
            <w:tcW w:w="9243" w:type="dxa"/>
            <w:gridSpan w:val="10"/>
            <w:shd w:val="clear" w:color="auto" w:fill="D9D9D9"/>
          </w:tcPr>
          <w:p w14:paraId="0F784EFB" w14:textId="128C4725" w:rsidR="00067CE7" w:rsidRPr="00241AF6" w:rsidRDefault="00067CE7" w:rsidP="00067CE7">
            <w:pPr>
              <w:rPr>
                <w:b/>
              </w:rPr>
            </w:pPr>
            <w:r w:rsidRPr="00241AF6">
              <w:rPr>
                <w:b/>
                <w:color w:val="000000"/>
              </w:rPr>
              <w:lastRenderedPageBreak/>
              <w:t>Item</w:t>
            </w:r>
            <w:r w:rsidRPr="00241AF6">
              <w:rPr>
                <w:b/>
              </w:rPr>
              <w:t xml:space="preserve"> 4.</w:t>
            </w:r>
            <w:r w:rsidR="008578AD">
              <w:rPr>
                <w:b/>
              </w:rPr>
              <w:t>7</w:t>
            </w:r>
            <w:r w:rsidRPr="00241AF6">
              <w:rPr>
                <w:b/>
              </w:rPr>
              <w:t xml:space="preserve">: </w:t>
            </w:r>
            <w:r w:rsidR="001A0A36">
              <w:rPr>
                <w:b/>
              </w:rPr>
              <w:t>Committee Reports</w:t>
            </w:r>
          </w:p>
        </w:tc>
      </w:tr>
      <w:tr w:rsidR="00067CE7" w:rsidRPr="00241AF6" w14:paraId="0342C6DF" w14:textId="77777777" w:rsidTr="008578AD">
        <w:tc>
          <w:tcPr>
            <w:tcW w:w="988" w:type="dxa"/>
            <w:gridSpan w:val="2"/>
            <w:shd w:val="clear" w:color="auto" w:fill="FFFFFF"/>
          </w:tcPr>
          <w:p w14:paraId="1C0B0212" w14:textId="3E96596D" w:rsidR="00067CE7" w:rsidRPr="00241AF6" w:rsidRDefault="00067CE7" w:rsidP="00067CE7">
            <w:pPr>
              <w:pStyle w:val="NoSpacing"/>
            </w:pPr>
            <w:r w:rsidRPr="00241AF6">
              <w:t>4.</w:t>
            </w:r>
            <w:r w:rsidR="008578AD">
              <w:t>7</w:t>
            </w:r>
          </w:p>
        </w:tc>
        <w:tc>
          <w:tcPr>
            <w:tcW w:w="7227" w:type="dxa"/>
            <w:gridSpan w:val="5"/>
            <w:shd w:val="clear" w:color="auto" w:fill="auto"/>
          </w:tcPr>
          <w:p w14:paraId="1A596519" w14:textId="77777777" w:rsidR="00124B6F" w:rsidRDefault="00124B6F" w:rsidP="00124B6F">
            <w:pPr>
              <w:spacing w:after="0"/>
              <w:rPr>
                <w:b/>
                <w:bCs/>
              </w:rPr>
            </w:pPr>
            <w:r>
              <w:rPr>
                <w:b/>
                <w:bCs/>
              </w:rPr>
              <w:t>Audit and Risk Committee</w:t>
            </w:r>
          </w:p>
          <w:p w14:paraId="72883E87" w14:textId="77777777" w:rsidR="00124B6F" w:rsidRDefault="00124B6F" w:rsidP="00124B6F">
            <w:pPr>
              <w:spacing w:after="0"/>
            </w:pPr>
            <w:r>
              <w:t xml:space="preserve">The report was taken as read. </w:t>
            </w:r>
          </w:p>
          <w:p w14:paraId="6FD3C810" w14:textId="77777777" w:rsidR="00124B6F" w:rsidRDefault="00124B6F" w:rsidP="00124B6F">
            <w:pPr>
              <w:spacing w:after="0"/>
              <w:rPr>
                <w:b/>
                <w:bCs/>
              </w:rPr>
            </w:pPr>
            <w:r>
              <w:rPr>
                <w:b/>
                <w:bCs/>
              </w:rPr>
              <w:t>The Board noted the contents of the report.</w:t>
            </w:r>
          </w:p>
          <w:p w14:paraId="2AAEF3F1" w14:textId="3B32677A" w:rsidR="00124B6F" w:rsidRDefault="00124B6F" w:rsidP="00124B6F">
            <w:pPr>
              <w:spacing w:after="0"/>
              <w:rPr>
                <w:b/>
                <w:bCs/>
              </w:rPr>
            </w:pPr>
          </w:p>
          <w:p w14:paraId="1CA4DFBC" w14:textId="4C0DFFDB" w:rsidR="00124B6F" w:rsidRDefault="00124B6F" w:rsidP="00124B6F">
            <w:pPr>
              <w:spacing w:after="0"/>
              <w:rPr>
                <w:b/>
                <w:bCs/>
              </w:rPr>
            </w:pPr>
            <w:r>
              <w:rPr>
                <w:b/>
                <w:bCs/>
              </w:rPr>
              <w:t>Additional Audit and Risk Committee</w:t>
            </w:r>
          </w:p>
          <w:p w14:paraId="7C27F2BB" w14:textId="77777777" w:rsidR="00124B6F" w:rsidRDefault="00124B6F" w:rsidP="00124B6F">
            <w:pPr>
              <w:spacing w:after="0"/>
            </w:pPr>
            <w:r>
              <w:t xml:space="preserve">The report was taken as read. </w:t>
            </w:r>
          </w:p>
          <w:p w14:paraId="2397DC0F" w14:textId="77777777" w:rsidR="00124B6F" w:rsidRDefault="00124B6F" w:rsidP="00124B6F">
            <w:pPr>
              <w:spacing w:after="0"/>
              <w:rPr>
                <w:b/>
                <w:bCs/>
              </w:rPr>
            </w:pPr>
            <w:r>
              <w:rPr>
                <w:b/>
                <w:bCs/>
              </w:rPr>
              <w:t>The Board noted the contents of the report.</w:t>
            </w:r>
          </w:p>
          <w:p w14:paraId="152E4644" w14:textId="77777777" w:rsidR="00D36A1D" w:rsidRPr="00D36A1D" w:rsidRDefault="00D36A1D" w:rsidP="00124B6F">
            <w:pPr>
              <w:spacing w:after="0"/>
            </w:pPr>
          </w:p>
          <w:p w14:paraId="14D12E35" w14:textId="77777777" w:rsidR="00124B6F" w:rsidRDefault="00124B6F" w:rsidP="00124B6F">
            <w:pPr>
              <w:spacing w:after="0"/>
              <w:rPr>
                <w:b/>
                <w:bCs/>
              </w:rPr>
            </w:pPr>
            <w:r>
              <w:rPr>
                <w:b/>
                <w:bCs/>
              </w:rPr>
              <w:t>Finance Committee</w:t>
            </w:r>
          </w:p>
          <w:p w14:paraId="37E66FEF" w14:textId="5F4D8A61" w:rsidR="00124B6F" w:rsidRPr="006941C3" w:rsidRDefault="00124B6F" w:rsidP="00124B6F">
            <w:pPr>
              <w:spacing w:after="0"/>
            </w:pPr>
            <w:r>
              <w:t>The report was taken as read.</w:t>
            </w:r>
          </w:p>
          <w:p w14:paraId="1E610502" w14:textId="5C7089B1" w:rsidR="00124B6F" w:rsidRDefault="00124B6F" w:rsidP="00124B6F">
            <w:pPr>
              <w:spacing w:after="0"/>
              <w:rPr>
                <w:b/>
                <w:bCs/>
              </w:rPr>
            </w:pPr>
            <w:r>
              <w:rPr>
                <w:b/>
                <w:bCs/>
              </w:rPr>
              <w:t>The Board noted the contents of the report.</w:t>
            </w:r>
          </w:p>
          <w:p w14:paraId="0B09E7C2" w14:textId="77777777" w:rsidR="00124B6F" w:rsidRDefault="00124B6F" w:rsidP="00124B6F">
            <w:pPr>
              <w:spacing w:after="0"/>
              <w:rPr>
                <w:b/>
                <w:bCs/>
              </w:rPr>
            </w:pPr>
          </w:p>
          <w:p w14:paraId="160CC2A3" w14:textId="77777777" w:rsidR="00124B6F" w:rsidRDefault="00124B6F" w:rsidP="00124B6F">
            <w:pPr>
              <w:spacing w:after="0"/>
              <w:rPr>
                <w:b/>
                <w:bCs/>
              </w:rPr>
            </w:pPr>
            <w:r>
              <w:rPr>
                <w:b/>
                <w:bCs/>
              </w:rPr>
              <w:t>Operations and Resources Committee</w:t>
            </w:r>
          </w:p>
          <w:p w14:paraId="0293B3CC" w14:textId="21E1D3BB" w:rsidR="00124B6F" w:rsidRDefault="00124B6F" w:rsidP="00124B6F">
            <w:pPr>
              <w:spacing w:after="0"/>
            </w:pPr>
            <w:r>
              <w:t xml:space="preserve">The report was taken as read. </w:t>
            </w:r>
          </w:p>
          <w:p w14:paraId="0221403A" w14:textId="51B6598C" w:rsidR="00124B6F" w:rsidRDefault="00124B6F" w:rsidP="00124B6F">
            <w:pPr>
              <w:pStyle w:val="NoSpacing"/>
              <w:rPr>
                <w:b/>
                <w:bCs/>
              </w:rPr>
            </w:pPr>
            <w:r>
              <w:rPr>
                <w:b/>
                <w:bCs/>
              </w:rPr>
              <w:t>The Board noted the contents of the report.</w:t>
            </w:r>
          </w:p>
          <w:p w14:paraId="6D5B313F" w14:textId="21CDFB55" w:rsidR="001A0A36" w:rsidRPr="001A0A36" w:rsidRDefault="001A0A36" w:rsidP="00D0047B">
            <w:pPr>
              <w:spacing w:after="0"/>
              <w:rPr>
                <w:b/>
                <w:bCs/>
              </w:rPr>
            </w:pPr>
          </w:p>
        </w:tc>
        <w:tc>
          <w:tcPr>
            <w:tcW w:w="1028" w:type="dxa"/>
            <w:gridSpan w:val="3"/>
            <w:shd w:val="clear" w:color="auto" w:fill="auto"/>
          </w:tcPr>
          <w:p w14:paraId="5E7D2D61" w14:textId="77777777" w:rsidR="00067CE7" w:rsidRPr="00241AF6" w:rsidRDefault="00067CE7" w:rsidP="00067CE7">
            <w:pPr>
              <w:pStyle w:val="NoSpacing"/>
            </w:pPr>
          </w:p>
        </w:tc>
      </w:tr>
      <w:tr w:rsidR="008578AD" w:rsidRPr="00241AF6" w14:paraId="34171173" w14:textId="77777777" w:rsidTr="00224510">
        <w:tc>
          <w:tcPr>
            <w:tcW w:w="9243" w:type="dxa"/>
            <w:gridSpan w:val="10"/>
            <w:shd w:val="clear" w:color="auto" w:fill="D9D9D9"/>
          </w:tcPr>
          <w:p w14:paraId="1819E29B" w14:textId="63E88529" w:rsidR="008578AD" w:rsidRPr="00FB0138" w:rsidRDefault="008578AD" w:rsidP="008578AD">
            <w:pPr>
              <w:spacing w:after="0"/>
              <w:rPr>
                <w:rFonts w:cs="Arial"/>
                <w:b/>
              </w:rPr>
            </w:pPr>
            <w:r>
              <w:rPr>
                <w:rFonts w:cs="Arial"/>
                <w:b/>
              </w:rPr>
              <w:t>Item 4.8:   Happy To Help CIC Report</w:t>
            </w:r>
          </w:p>
        </w:tc>
      </w:tr>
      <w:tr w:rsidR="008578AD" w:rsidRPr="00241AF6" w14:paraId="1721EC16" w14:textId="0447B9CF" w:rsidTr="008578AD">
        <w:tc>
          <w:tcPr>
            <w:tcW w:w="977" w:type="dxa"/>
            <w:shd w:val="clear" w:color="auto" w:fill="auto"/>
          </w:tcPr>
          <w:p w14:paraId="513C7359" w14:textId="77777777" w:rsidR="008578AD" w:rsidRPr="00FB0138" w:rsidRDefault="008578AD" w:rsidP="008578AD">
            <w:pPr>
              <w:spacing w:after="0"/>
              <w:rPr>
                <w:rFonts w:cs="Arial"/>
                <w:b/>
              </w:rPr>
            </w:pPr>
          </w:p>
        </w:tc>
        <w:tc>
          <w:tcPr>
            <w:tcW w:w="7225" w:type="dxa"/>
            <w:gridSpan w:val="5"/>
            <w:shd w:val="clear" w:color="auto" w:fill="auto"/>
          </w:tcPr>
          <w:p w14:paraId="4D4F4241" w14:textId="181D78F6" w:rsidR="008578AD" w:rsidRDefault="008578AD" w:rsidP="008578AD">
            <w:pPr>
              <w:pStyle w:val="NoSpacing"/>
            </w:pPr>
            <w:r>
              <w:t>The report was taken as read.</w:t>
            </w:r>
          </w:p>
          <w:p w14:paraId="3DB64218" w14:textId="77777777" w:rsidR="009060B4" w:rsidRDefault="009060B4" w:rsidP="008578AD">
            <w:pPr>
              <w:pStyle w:val="NoSpacing"/>
            </w:pPr>
          </w:p>
          <w:p w14:paraId="4E8982E6" w14:textId="77777777" w:rsidR="008578AD" w:rsidRDefault="008578AD" w:rsidP="008578AD">
            <w:pPr>
              <w:spacing w:after="0"/>
              <w:rPr>
                <w:b/>
                <w:bCs/>
              </w:rPr>
            </w:pPr>
            <w:r w:rsidRPr="006D5DA8">
              <w:rPr>
                <w:b/>
                <w:bCs/>
              </w:rPr>
              <w:t xml:space="preserve">The Board </w:t>
            </w:r>
            <w:r>
              <w:rPr>
                <w:b/>
                <w:bCs/>
              </w:rPr>
              <w:t>received</w:t>
            </w:r>
            <w:r w:rsidRPr="006D5DA8">
              <w:rPr>
                <w:b/>
                <w:bCs/>
              </w:rPr>
              <w:t xml:space="preserve"> the </w:t>
            </w:r>
            <w:r>
              <w:rPr>
                <w:b/>
                <w:bCs/>
              </w:rPr>
              <w:t>21/07/2023</w:t>
            </w:r>
            <w:r w:rsidRPr="006D5DA8">
              <w:rPr>
                <w:b/>
                <w:bCs/>
              </w:rPr>
              <w:t xml:space="preserve"> Happy to Help CIC report.</w:t>
            </w:r>
          </w:p>
          <w:p w14:paraId="04A98DA6" w14:textId="0FBFDCE2" w:rsidR="00416AB6" w:rsidRPr="00FB0138" w:rsidRDefault="00416AB6" w:rsidP="008578AD">
            <w:pPr>
              <w:spacing w:after="0"/>
              <w:rPr>
                <w:rFonts w:cs="Arial"/>
                <w:b/>
              </w:rPr>
            </w:pPr>
          </w:p>
        </w:tc>
        <w:tc>
          <w:tcPr>
            <w:tcW w:w="1041" w:type="dxa"/>
            <w:gridSpan w:val="4"/>
            <w:shd w:val="clear" w:color="auto" w:fill="auto"/>
          </w:tcPr>
          <w:p w14:paraId="4EAFE775" w14:textId="77777777" w:rsidR="008578AD" w:rsidRPr="00FB0138" w:rsidRDefault="008578AD" w:rsidP="008578AD">
            <w:pPr>
              <w:spacing w:after="0"/>
              <w:rPr>
                <w:rFonts w:cs="Arial"/>
                <w:b/>
              </w:rPr>
            </w:pPr>
          </w:p>
        </w:tc>
      </w:tr>
      <w:tr w:rsidR="00067CE7" w:rsidRPr="00241AF6" w14:paraId="689C8CD5" w14:textId="77777777" w:rsidTr="00224510">
        <w:tc>
          <w:tcPr>
            <w:tcW w:w="9243" w:type="dxa"/>
            <w:gridSpan w:val="10"/>
            <w:shd w:val="clear" w:color="auto" w:fill="D9D9D9"/>
          </w:tcPr>
          <w:p w14:paraId="555398D8" w14:textId="77777777" w:rsidR="001A0A36" w:rsidRDefault="001A0A36" w:rsidP="001A0A36">
            <w:pPr>
              <w:spacing w:before="120" w:after="120"/>
              <w:rPr>
                <w:rFonts w:cs="Arial"/>
                <w:b/>
              </w:rPr>
            </w:pPr>
            <w:r w:rsidRPr="00FB0138">
              <w:rPr>
                <w:rFonts w:cs="Arial"/>
                <w:b/>
              </w:rPr>
              <w:t>Date of next meeting:</w:t>
            </w:r>
            <w:r>
              <w:rPr>
                <w:rFonts w:cs="Arial"/>
                <w:b/>
              </w:rPr>
              <w:t xml:space="preserve">   AGM – Friday 13</w:t>
            </w:r>
            <w:r w:rsidRPr="00E6720E">
              <w:rPr>
                <w:rFonts w:cs="Arial"/>
                <w:b/>
                <w:vertAlign w:val="superscript"/>
              </w:rPr>
              <w:t>th</w:t>
            </w:r>
            <w:r>
              <w:rPr>
                <w:rFonts w:cs="Arial"/>
                <w:b/>
              </w:rPr>
              <w:t xml:space="preserve"> October 2023, time TBC</w:t>
            </w:r>
          </w:p>
          <w:p w14:paraId="031B7D0D" w14:textId="77777777" w:rsidR="001A0A36" w:rsidRDefault="001A0A36" w:rsidP="001A0A36">
            <w:pPr>
              <w:spacing w:before="120" w:after="120"/>
              <w:rPr>
                <w:rFonts w:cs="Arial"/>
                <w:b/>
              </w:rPr>
            </w:pPr>
            <w:r>
              <w:rPr>
                <w:rFonts w:cs="Arial"/>
                <w:b/>
              </w:rPr>
              <w:t xml:space="preserve">                                           Board – Friday 13</w:t>
            </w:r>
            <w:r w:rsidRPr="00E6720E">
              <w:rPr>
                <w:rFonts w:cs="Arial"/>
                <w:b/>
                <w:vertAlign w:val="superscript"/>
              </w:rPr>
              <w:t>th</w:t>
            </w:r>
            <w:r>
              <w:rPr>
                <w:rFonts w:cs="Arial"/>
                <w:b/>
              </w:rPr>
              <w:t xml:space="preserve"> October 2023, time TBC</w:t>
            </w:r>
          </w:p>
          <w:p w14:paraId="33D40A51" w14:textId="378C4539" w:rsidR="00067CE7" w:rsidRPr="00241AF6" w:rsidRDefault="001A0A36" w:rsidP="001A0A36">
            <w:pPr>
              <w:rPr>
                <w:b/>
              </w:rPr>
            </w:pPr>
            <w:r>
              <w:rPr>
                <w:rFonts w:cs="Arial"/>
                <w:b/>
              </w:rPr>
              <w:t xml:space="preserve">                                           Board – Wednesday 1</w:t>
            </w:r>
            <w:r w:rsidRPr="00E6720E">
              <w:rPr>
                <w:rFonts w:cs="Arial"/>
                <w:b/>
                <w:vertAlign w:val="superscript"/>
              </w:rPr>
              <w:t>st</w:t>
            </w:r>
            <w:r>
              <w:rPr>
                <w:rFonts w:cs="Arial"/>
                <w:b/>
              </w:rPr>
              <w:t xml:space="preserve"> November 2023, 18:00</w:t>
            </w:r>
          </w:p>
        </w:tc>
      </w:tr>
      <w:tr w:rsidR="00067CE7" w:rsidRPr="00241AF6" w14:paraId="4DE78475" w14:textId="77777777" w:rsidTr="009C590E">
        <w:tc>
          <w:tcPr>
            <w:tcW w:w="9243" w:type="dxa"/>
            <w:gridSpan w:val="10"/>
            <w:shd w:val="clear" w:color="auto" w:fill="BFBFBF"/>
          </w:tcPr>
          <w:p w14:paraId="58D3BC31" w14:textId="5F3D3FC9" w:rsidR="00067CE7" w:rsidRPr="00241AF6" w:rsidRDefault="00067CE7" w:rsidP="00067CE7">
            <w:pPr>
              <w:rPr>
                <w:b/>
              </w:rPr>
            </w:pPr>
            <w:r w:rsidRPr="00241AF6">
              <w:rPr>
                <w:b/>
              </w:rPr>
              <w:t>Close of meeting:</w:t>
            </w:r>
            <w:r w:rsidR="001A0A36">
              <w:rPr>
                <w:b/>
              </w:rPr>
              <w:t xml:space="preserve"> </w:t>
            </w:r>
            <w:r w:rsidR="001A0A36" w:rsidRPr="00B24159">
              <w:rPr>
                <w:b/>
              </w:rPr>
              <w:t>2</w:t>
            </w:r>
            <w:r w:rsidR="00B24159">
              <w:rPr>
                <w:b/>
              </w:rPr>
              <w:t>0</w:t>
            </w:r>
            <w:r w:rsidR="001A0A36" w:rsidRPr="00B24159">
              <w:rPr>
                <w:b/>
              </w:rPr>
              <w:t>:</w:t>
            </w:r>
            <w:r w:rsidR="00B24159">
              <w:rPr>
                <w:b/>
              </w:rPr>
              <w:t>45</w:t>
            </w:r>
          </w:p>
        </w:tc>
      </w:tr>
    </w:tbl>
    <w:p w14:paraId="5E6215F1" w14:textId="1AA98BB4" w:rsidR="00683383" w:rsidRDefault="00683383" w:rsidP="00241AF6">
      <w:pPr>
        <w:pStyle w:val="NoSpacing"/>
      </w:pPr>
    </w:p>
    <w:p w14:paraId="756146D6" w14:textId="77777777" w:rsidR="006660C4" w:rsidRPr="00241AF6" w:rsidRDefault="006660C4" w:rsidP="00241AF6">
      <w:pPr>
        <w:pStyle w:val="NoSpacing"/>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671"/>
        <w:gridCol w:w="992"/>
      </w:tblGrid>
      <w:tr w:rsidR="004C5C24" w:rsidRPr="00241AF6" w14:paraId="42C17E52" w14:textId="77777777" w:rsidTr="00241AF6">
        <w:tc>
          <w:tcPr>
            <w:tcW w:w="9209" w:type="dxa"/>
            <w:gridSpan w:val="3"/>
            <w:shd w:val="clear" w:color="auto" w:fill="D9D9D9"/>
          </w:tcPr>
          <w:p w14:paraId="1F8B6C2B" w14:textId="77777777" w:rsidR="004C5C24" w:rsidRPr="00241AF6" w:rsidRDefault="004C5C24" w:rsidP="00241AF6">
            <w:pPr>
              <w:rPr>
                <w:b/>
              </w:rPr>
            </w:pPr>
            <w:r w:rsidRPr="00241AF6">
              <w:rPr>
                <w:b/>
              </w:rPr>
              <w:t xml:space="preserve">Action Summary </w:t>
            </w:r>
          </w:p>
        </w:tc>
      </w:tr>
      <w:tr w:rsidR="00A33A89" w:rsidRPr="00241AF6" w14:paraId="0BC34395" w14:textId="77777777" w:rsidTr="00241AF6">
        <w:tc>
          <w:tcPr>
            <w:tcW w:w="1546" w:type="dxa"/>
            <w:shd w:val="clear" w:color="auto" w:fill="auto"/>
          </w:tcPr>
          <w:p w14:paraId="1417DB52" w14:textId="77777777" w:rsidR="00A33A89" w:rsidRPr="00067CE7" w:rsidRDefault="00A33A89" w:rsidP="00067CE7">
            <w:pPr>
              <w:pStyle w:val="NoSpacing"/>
            </w:pPr>
            <w:r w:rsidRPr="00067CE7">
              <w:t>Action 1</w:t>
            </w:r>
          </w:p>
          <w:p w14:paraId="72458FDC" w14:textId="2AA35EAB" w:rsidR="00A33A89" w:rsidRPr="00067CE7" w:rsidRDefault="00A33A89" w:rsidP="00067CE7">
            <w:pPr>
              <w:pStyle w:val="NoSpacing"/>
            </w:pPr>
            <w:r w:rsidRPr="00067CE7">
              <w:t xml:space="preserve">(item </w:t>
            </w:r>
            <w:r w:rsidR="00447299">
              <w:t>2.2</w:t>
            </w:r>
            <w:r w:rsidRPr="00067CE7">
              <w:t>)</w:t>
            </w:r>
          </w:p>
          <w:p w14:paraId="71ACD82A" w14:textId="77777777" w:rsidR="00A33A89" w:rsidRPr="00067CE7" w:rsidRDefault="00A33A89" w:rsidP="00067CE7">
            <w:pPr>
              <w:pStyle w:val="NoSpacing"/>
            </w:pPr>
          </w:p>
        </w:tc>
        <w:tc>
          <w:tcPr>
            <w:tcW w:w="6671" w:type="dxa"/>
            <w:shd w:val="clear" w:color="auto" w:fill="auto"/>
          </w:tcPr>
          <w:p w14:paraId="0EEDBD2B" w14:textId="4B6CCA62" w:rsidR="00A33A89" w:rsidRPr="00067CE7" w:rsidRDefault="00447299" w:rsidP="00067CE7">
            <w:pPr>
              <w:pStyle w:val="NoSpacing"/>
            </w:pPr>
            <w:r w:rsidRPr="00447299">
              <w:t>SF to lead on the appointment of an external consultant to undertake the assessment of NPH’s governance against the NHF code and develop a Board Development Plan.</w:t>
            </w:r>
          </w:p>
        </w:tc>
        <w:tc>
          <w:tcPr>
            <w:tcW w:w="992" w:type="dxa"/>
            <w:shd w:val="clear" w:color="auto" w:fill="auto"/>
          </w:tcPr>
          <w:p w14:paraId="517EE27A" w14:textId="2B2BBEBD" w:rsidR="00A33A89" w:rsidRPr="00067CE7" w:rsidRDefault="00004A75" w:rsidP="00067CE7">
            <w:pPr>
              <w:pStyle w:val="NoSpacing"/>
            </w:pPr>
            <w:r>
              <w:t>SF</w:t>
            </w:r>
          </w:p>
        </w:tc>
      </w:tr>
      <w:tr w:rsidR="00A33A89" w:rsidRPr="00241AF6" w14:paraId="7918878A" w14:textId="77777777" w:rsidTr="00683383">
        <w:trPr>
          <w:trHeight w:val="648"/>
        </w:trPr>
        <w:tc>
          <w:tcPr>
            <w:tcW w:w="1546" w:type="dxa"/>
            <w:shd w:val="clear" w:color="auto" w:fill="auto"/>
          </w:tcPr>
          <w:p w14:paraId="5D0455C3" w14:textId="77777777" w:rsidR="00A33A89" w:rsidRPr="00067CE7" w:rsidRDefault="00A33A89" w:rsidP="00067CE7">
            <w:pPr>
              <w:pStyle w:val="NoSpacing"/>
            </w:pPr>
            <w:r w:rsidRPr="00067CE7">
              <w:t>Action 2</w:t>
            </w:r>
          </w:p>
          <w:p w14:paraId="604B7479" w14:textId="4430C9A4" w:rsidR="00A33A89" w:rsidRPr="00067CE7" w:rsidRDefault="00A33A89" w:rsidP="00067CE7">
            <w:pPr>
              <w:pStyle w:val="NoSpacing"/>
            </w:pPr>
            <w:r w:rsidRPr="00067CE7">
              <w:t xml:space="preserve">(item </w:t>
            </w:r>
            <w:r w:rsidR="00BA66DE">
              <w:t>2.4</w:t>
            </w:r>
            <w:r w:rsidRPr="00067CE7">
              <w:t>)</w:t>
            </w:r>
          </w:p>
        </w:tc>
        <w:tc>
          <w:tcPr>
            <w:tcW w:w="6671" w:type="dxa"/>
            <w:shd w:val="clear" w:color="auto" w:fill="auto"/>
          </w:tcPr>
          <w:p w14:paraId="49C034B3" w14:textId="348BA232" w:rsidR="00A33A89" w:rsidRPr="00067CE7" w:rsidRDefault="00BA66DE" w:rsidP="00067CE7">
            <w:pPr>
              <w:pStyle w:val="NoSpacing"/>
            </w:pPr>
            <w:r w:rsidRPr="00BA66DE">
              <w:t>OO to confirm if Photovoltaic panels will be included in the Garage Infill Sites (Lot 2) developments.</w:t>
            </w:r>
          </w:p>
        </w:tc>
        <w:tc>
          <w:tcPr>
            <w:tcW w:w="992" w:type="dxa"/>
            <w:shd w:val="clear" w:color="auto" w:fill="auto"/>
          </w:tcPr>
          <w:p w14:paraId="6DB2A2B2" w14:textId="0674FE9C" w:rsidR="00A33A89" w:rsidRPr="00067CE7" w:rsidRDefault="00004A75" w:rsidP="00067CE7">
            <w:pPr>
              <w:pStyle w:val="NoSpacing"/>
            </w:pPr>
            <w:r>
              <w:t>OO</w:t>
            </w:r>
          </w:p>
        </w:tc>
      </w:tr>
      <w:tr w:rsidR="00A33A89" w:rsidRPr="00241AF6" w14:paraId="407E2CAF" w14:textId="77777777" w:rsidTr="00241AF6">
        <w:tc>
          <w:tcPr>
            <w:tcW w:w="1546" w:type="dxa"/>
            <w:shd w:val="clear" w:color="auto" w:fill="auto"/>
          </w:tcPr>
          <w:p w14:paraId="3D14A328" w14:textId="77777777" w:rsidR="00A33A89" w:rsidRPr="00067CE7" w:rsidRDefault="00A33A89" w:rsidP="00067CE7">
            <w:pPr>
              <w:pStyle w:val="NoSpacing"/>
            </w:pPr>
            <w:r w:rsidRPr="00067CE7">
              <w:t>Action 3</w:t>
            </w:r>
          </w:p>
          <w:p w14:paraId="5BC41045" w14:textId="156AA967" w:rsidR="00A33A89" w:rsidRPr="00067CE7" w:rsidRDefault="00A33A89" w:rsidP="00067CE7">
            <w:pPr>
              <w:pStyle w:val="NoSpacing"/>
            </w:pPr>
            <w:r w:rsidRPr="00067CE7">
              <w:t xml:space="preserve">(item </w:t>
            </w:r>
            <w:r w:rsidR="00BA66DE">
              <w:t>3.1</w:t>
            </w:r>
            <w:r w:rsidRPr="00067CE7">
              <w:t>)</w:t>
            </w:r>
          </w:p>
          <w:p w14:paraId="0BB0FFA3" w14:textId="77777777" w:rsidR="00A33A89" w:rsidRPr="00067CE7" w:rsidRDefault="00A33A89" w:rsidP="00067CE7">
            <w:pPr>
              <w:pStyle w:val="NoSpacing"/>
            </w:pPr>
          </w:p>
        </w:tc>
        <w:tc>
          <w:tcPr>
            <w:tcW w:w="6671" w:type="dxa"/>
            <w:shd w:val="clear" w:color="auto" w:fill="auto"/>
          </w:tcPr>
          <w:p w14:paraId="204BB827" w14:textId="12FBA52D" w:rsidR="00683383" w:rsidRPr="00683383" w:rsidRDefault="00BA66DE" w:rsidP="00683383">
            <w:pPr>
              <w:pStyle w:val="NoSpacing"/>
            </w:pPr>
            <w:r>
              <w:t>LC to raise with the auditors whether Andrew Weatherill should be listed as a Co-Optee in the Letter of Representation as he is not a member of the Board.</w:t>
            </w:r>
          </w:p>
        </w:tc>
        <w:tc>
          <w:tcPr>
            <w:tcW w:w="992" w:type="dxa"/>
            <w:shd w:val="clear" w:color="auto" w:fill="auto"/>
          </w:tcPr>
          <w:p w14:paraId="13E482E4" w14:textId="454DB810" w:rsidR="00A33A89" w:rsidRPr="00067CE7" w:rsidRDefault="00004A75" w:rsidP="00067CE7">
            <w:pPr>
              <w:pStyle w:val="NoSpacing"/>
            </w:pPr>
            <w:r>
              <w:t>LC</w:t>
            </w:r>
          </w:p>
        </w:tc>
      </w:tr>
    </w:tbl>
    <w:p w14:paraId="112988E2" w14:textId="77777777" w:rsidR="00683383" w:rsidRPr="000276DC" w:rsidRDefault="00683383" w:rsidP="00683383">
      <w:pPr>
        <w:rPr>
          <w:rFonts w:ascii="Arial" w:hAnsi="Arial" w:cs="Arial"/>
          <w:sz w:val="24"/>
          <w:szCs w:val="24"/>
        </w:rPr>
      </w:pPr>
    </w:p>
    <w:sectPr w:rsidR="00683383" w:rsidRPr="000276DC" w:rsidSect="006C6D8D">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D690" w14:textId="77777777" w:rsidR="006C6D8D" w:rsidRDefault="006C6D8D" w:rsidP="00E61189">
      <w:pPr>
        <w:spacing w:after="0" w:line="240" w:lineRule="auto"/>
      </w:pPr>
      <w:r>
        <w:separator/>
      </w:r>
    </w:p>
  </w:endnote>
  <w:endnote w:type="continuationSeparator" w:id="0">
    <w:p w14:paraId="32CA4354" w14:textId="77777777" w:rsidR="006C6D8D" w:rsidRDefault="006C6D8D" w:rsidP="00E6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1696" w14:textId="77777777" w:rsidR="00C15796" w:rsidRDefault="00C15796">
    <w:pPr>
      <w:pStyle w:val="Footer"/>
      <w:jc w:val="right"/>
    </w:pPr>
    <w:r>
      <w:fldChar w:fldCharType="begin"/>
    </w:r>
    <w:r>
      <w:instrText xml:space="preserve"> PAGE   \* MERGEFORMAT </w:instrText>
    </w:r>
    <w:r>
      <w:fldChar w:fldCharType="separate"/>
    </w:r>
    <w:r w:rsidR="009F313E">
      <w:rPr>
        <w:noProof/>
      </w:rPr>
      <w:t>1</w:t>
    </w:r>
    <w:r>
      <w:rPr>
        <w:noProof/>
      </w:rPr>
      <w:fldChar w:fldCharType="end"/>
    </w:r>
  </w:p>
  <w:p w14:paraId="1E4C4BE4" w14:textId="157D35CC" w:rsidR="00C15796" w:rsidRPr="00040D09" w:rsidRDefault="00F81CF6">
    <w:pPr>
      <w:pStyle w:val="Footer"/>
      <w:rPr>
        <w:b/>
        <w:color w:val="FF0000"/>
      </w:rPr>
    </w:pPr>
    <w:r>
      <w:tab/>
    </w:r>
    <w:r w:rsidR="0060051E">
      <w:rPr>
        <w:b/>
        <w:color w:val="FF0000"/>
      </w:rPr>
      <w:t>APPROVED</w:t>
    </w:r>
    <w:r w:rsidR="00AA553E">
      <w:rPr>
        <w:b/>
        <w:color w:val="FF0000"/>
      </w:rPr>
      <w:t xml:space="preserve"> MINUTES &amp; ACTIONS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26FC" w14:textId="77777777" w:rsidR="006C6D8D" w:rsidRDefault="006C6D8D" w:rsidP="00E61189">
      <w:pPr>
        <w:spacing w:after="0" w:line="240" w:lineRule="auto"/>
      </w:pPr>
      <w:r>
        <w:separator/>
      </w:r>
    </w:p>
  </w:footnote>
  <w:footnote w:type="continuationSeparator" w:id="0">
    <w:p w14:paraId="0534BD7A" w14:textId="77777777" w:rsidR="006C6D8D" w:rsidRDefault="006C6D8D" w:rsidP="00E61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FFE4" w14:textId="1885810E" w:rsidR="00615961" w:rsidRDefault="00F71B06" w:rsidP="00F71B06">
    <w:pPr>
      <w:pStyle w:val="Header"/>
      <w:jc w:val="center"/>
    </w:pPr>
    <w:r w:rsidRPr="00F71B06">
      <w:rPr>
        <w:noProof/>
      </w:rPr>
      <w:drawing>
        <wp:inline distT="0" distB="0" distL="0" distR="0" wp14:anchorId="2AD1AA0E" wp14:editId="4875B659">
          <wp:extent cx="21145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1455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2AB"/>
    <w:multiLevelType w:val="hybridMultilevel"/>
    <w:tmpl w:val="8B2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87EDD"/>
    <w:multiLevelType w:val="hybridMultilevel"/>
    <w:tmpl w:val="4B2C3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083B67"/>
    <w:multiLevelType w:val="hybridMultilevel"/>
    <w:tmpl w:val="2D8E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D7934"/>
    <w:multiLevelType w:val="hybridMultilevel"/>
    <w:tmpl w:val="47D2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C729C"/>
    <w:multiLevelType w:val="hybridMultilevel"/>
    <w:tmpl w:val="5C72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B30C9"/>
    <w:multiLevelType w:val="hybridMultilevel"/>
    <w:tmpl w:val="10F6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C3192"/>
    <w:multiLevelType w:val="hybridMultilevel"/>
    <w:tmpl w:val="DD1C1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F03DC"/>
    <w:multiLevelType w:val="hybridMultilevel"/>
    <w:tmpl w:val="8D904B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81D239B"/>
    <w:multiLevelType w:val="hybridMultilevel"/>
    <w:tmpl w:val="30D6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43EAC"/>
    <w:multiLevelType w:val="hybridMultilevel"/>
    <w:tmpl w:val="115A0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6472A3"/>
    <w:multiLevelType w:val="hybridMultilevel"/>
    <w:tmpl w:val="D9E24C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521E37"/>
    <w:multiLevelType w:val="hybridMultilevel"/>
    <w:tmpl w:val="C2409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482E9F"/>
    <w:multiLevelType w:val="hybridMultilevel"/>
    <w:tmpl w:val="7A84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76B43"/>
    <w:multiLevelType w:val="hybridMultilevel"/>
    <w:tmpl w:val="6A04822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48EC38F2"/>
    <w:multiLevelType w:val="hybridMultilevel"/>
    <w:tmpl w:val="AA2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D453B"/>
    <w:multiLevelType w:val="hybridMultilevel"/>
    <w:tmpl w:val="F87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B6606"/>
    <w:multiLevelType w:val="hybridMultilevel"/>
    <w:tmpl w:val="5DFAA3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E27F3"/>
    <w:multiLevelType w:val="hybridMultilevel"/>
    <w:tmpl w:val="89F0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F65E2E"/>
    <w:multiLevelType w:val="hybridMultilevel"/>
    <w:tmpl w:val="D6DC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C172C"/>
    <w:multiLevelType w:val="hybridMultilevel"/>
    <w:tmpl w:val="4B18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E1CE0"/>
    <w:multiLevelType w:val="hybridMultilevel"/>
    <w:tmpl w:val="DE46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53A41"/>
    <w:multiLevelType w:val="hybridMultilevel"/>
    <w:tmpl w:val="12CE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F5EE7"/>
    <w:multiLevelType w:val="hybridMultilevel"/>
    <w:tmpl w:val="0F34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51986"/>
    <w:multiLevelType w:val="hybridMultilevel"/>
    <w:tmpl w:val="D334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F7316"/>
    <w:multiLevelType w:val="hybridMultilevel"/>
    <w:tmpl w:val="B492B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F58DE"/>
    <w:multiLevelType w:val="hybridMultilevel"/>
    <w:tmpl w:val="E64E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F5407"/>
    <w:multiLevelType w:val="hybridMultilevel"/>
    <w:tmpl w:val="8C3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F31D0"/>
    <w:multiLevelType w:val="hybridMultilevel"/>
    <w:tmpl w:val="8F84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41570"/>
    <w:multiLevelType w:val="multilevel"/>
    <w:tmpl w:val="60A036C0"/>
    <w:lvl w:ilvl="0">
      <w:start w:val="1"/>
      <w:numFmt w:val="decimal"/>
      <w:pStyle w:val="Header1"/>
      <w:lvlText w:val="%1."/>
      <w:lvlJc w:val="left"/>
      <w:pPr>
        <w:ind w:left="360" w:hanging="360"/>
      </w:pPr>
      <w:rPr>
        <w:rFonts w:ascii="Arial" w:hAnsi="Arial" w:cs="Arial" w:hint="default"/>
        <w:color w:val="auto"/>
        <w:specVanish w:val="0"/>
      </w:rPr>
    </w:lvl>
    <w:lvl w:ilvl="1">
      <w:start w:val="1"/>
      <w:numFmt w:val="decimal"/>
      <w:pStyle w:val="Body11"/>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Body11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266520"/>
    <w:multiLevelType w:val="hybridMultilevel"/>
    <w:tmpl w:val="94E8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E1B4B"/>
    <w:multiLevelType w:val="hybridMultilevel"/>
    <w:tmpl w:val="81B4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414E9"/>
    <w:multiLevelType w:val="hybridMultilevel"/>
    <w:tmpl w:val="D21AA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BC36C3"/>
    <w:multiLevelType w:val="hybridMultilevel"/>
    <w:tmpl w:val="49F6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32C46"/>
    <w:multiLevelType w:val="multilevel"/>
    <w:tmpl w:val="67E655E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257206732">
    <w:abstractNumId w:val="6"/>
  </w:num>
  <w:num w:numId="2" w16cid:durableId="171071396">
    <w:abstractNumId w:val="13"/>
  </w:num>
  <w:num w:numId="3" w16cid:durableId="780684485">
    <w:abstractNumId w:val="1"/>
  </w:num>
  <w:num w:numId="4" w16cid:durableId="620376571">
    <w:abstractNumId w:val="24"/>
  </w:num>
  <w:num w:numId="5" w16cid:durableId="61409735">
    <w:abstractNumId w:val="16"/>
  </w:num>
  <w:num w:numId="6" w16cid:durableId="1401438838">
    <w:abstractNumId w:val="31"/>
  </w:num>
  <w:num w:numId="7" w16cid:durableId="2108190263">
    <w:abstractNumId w:val="11"/>
  </w:num>
  <w:num w:numId="8" w16cid:durableId="1552301008">
    <w:abstractNumId w:val="21"/>
  </w:num>
  <w:num w:numId="9" w16cid:durableId="855734744">
    <w:abstractNumId w:val="29"/>
  </w:num>
  <w:num w:numId="10" w16cid:durableId="746611909">
    <w:abstractNumId w:val="7"/>
  </w:num>
  <w:num w:numId="11" w16cid:durableId="448934357">
    <w:abstractNumId w:val="30"/>
  </w:num>
  <w:num w:numId="12" w16cid:durableId="314114767">
    <w:abstractNumId w:val="25"/>
  </w:num>
  <w:num w:numId="13" w16cid:durableId="900091003">
    <w:abstractNumId w:val="14"/>
  </w:num>
  <w:num w:numId="14" w16cid:durableId="2074310736">
    <w:abstractNumId w:val="15"/>
  </w:num>
  <w:num w:numId="15" w16cid:durableId="338629265">
    <w:abstractNumId w:val="33"/>
  </w:num>
  <w:num w:numId="16" w16cid:durableId="2011056376">
    <w:abstractNumId w:val="5"/>
  </w:num>
  <w:num w:numId="17" w16cid:durableId="265579593">
    <w:abstractNumId w:val="2"/>
  </w:num>
  <w:num w:numId="18" w16cid:durableId="941448629">
    <w:abstractNumId w:val="12"/>
  </w:num>
  <w:num w:numId="19" w16cid:durableId="593978090">
    <w:abstractNumId w:val="9"/>
  </w:num>
  <w:num w:numId="20" w16cid:durableId="582571155">
    <w:abstractNumId w:val="18"/>
  </w:num>
  <w:num w:numId="21" w16cid:durableId="490685165">
    <w:abstractNumId w:val="8"/>
  </w:num>
  <w:num w:numId="22" w16cid:durableId="1531726752">
    <w:abstractNumId w:val="23"/>
  </w:num>
  <w:num w:numId="23" w16cid:durableId="2120441435">
    <w:abstractNumId w:val="19"/>
  </w:num>
  <w:num w:numId="24" w16cid:durableId="1089892154">
    <w:abstractNumId w:val="32"/>
  </w:num>
  <w:num w:numId="25" w16cid:durableId="1125583487">
    <w:abstractNumId w:val="17"/>
  </w:num>
  <w:num w:numId="26" w16cid:durableId="473723434">
    <w:abstractNumId w:val="4"/>
  </w:num>
  <w:num w:numId="27" w16cid:durableId="1984849754">
    <w:abstractNumId w:val="26"/>
  </w:num>
  <w:num w:numId="28" w16cid:durableId="948127427">
    <w:abstractNumId w:val="0"/>
  </w:num>
  <w:num w:numId="29" w16cid:durableId="851719683">
    <w:abstractNumId w:val="20"/>
  </w:num>
  <w:num w:numId="30" w16cid:durableId="535654929">
    <w:abstractNumId w:val="3"/>
  </w:num>
  <w:num w:numId="31" w16cid:durableId="1087340292">
    <w:abstractNumId w:val="27"/>
  </w:num>
  <w:num w:numId="32" w16cid:durableId="1574003005">
    <w:abstractNumId w:val="10"/>
  </w:num>
  <w:num w:numId="33" w16cid:durableId="1053692720">
    <w:abstractNumId w:val="22"/>
  </w:num>
  <w:num w:numId="34" w16cid:durableId="12180529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3sqq22SzXU9iW7ViPGXmJiA7Ghxw3phpjH9v4IwobA18iYzyXMMMnhRO2hMBJLTMeEJVeZbBkpjDZrGhUefkg==" w:salt="sAv64DOtAabOu0JtptgD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AC"/>
    <w:rsid w:val="00004A75"/>
    <w:rsid w:val="0000506A"/>
    <w:rsid w:val="000122A4"/>
    <w:rsid w:val="0001564A"/>
    <w:rsid w:val="00017070"/>
    <w:rsid w:val="000177EA"/>
    <w:rsid w:val="00025D6F"/>
    <w:rsid w:val="000276DC"/>
    <w:rsid w:val="0003075C"/>
    <w:rsid w:val="00033F04"/>
    <w:rsid w:val="00033F53"/>
    <w:rsid w:val="00036FD3"/>
    <w:rsid w:val="00037DBF"/>
    <w:rsid w:val="000406DC"/>
    <w:rsid w:val="00040D09"/>
    <w:rsid w:val="000415CD"/>
    <w:rsid w:val="00045A74"/>
    <w:rsid w:val="00052101"/>
    <w:rsid w:val="00057FC0"/>
    <w:rsid w:val="0006079D"/>
    <w:rsid w:val="0006210C"/>
    <w:rsid w:val="00066005"/>
    <w:rsid w:val="00067B1D"/>
    <w:rsid w:val="00067CE7"/>
    <w:rsid w:val="00072878"/>
    <w:rsid w:val="00075E1E"/>
    <w:rsid w:val="00080305"/>
    <w:rsid w:val="000907A0"/>
    <w:rsid w:val="00090D83"/>
    <w:rsid w:val="00092588"/>
    <w:rsid w:val="00093DA4"/>
    <w:rsid w:val="000B0428"/>
    <w:rsid w:val="000B5C20"/>
    <w:rsid w:val="000C44CA"/>
    <w:rsid w:val="000C45E4"/>
    <w:rsid w:val="000C5369"/>
    <w:rsid w:val="000C7E7C"/>
    <w:rsid w:val="000D3C8C"/>
    <w:rsid w:val="000D64B2"/>
    <w:rsid w:val="000E000F"/>
    <w:rsid w:val="000E39C5"/>
    <w:rsid w:val="000E42C2"/>
    <w:rsid w:val="000E6392"/>
    <w:rsid w:val="000F617B"/>
    <w:rsid w:val="00100543"/>
    <w:rsid w:val="00110B07"/>
    <w:rsid w:val="00113F87"/>
    <w:rsid w:val="0011483A"/>
    <w:rsid w:val="001170FC"/>
    <w:rsid w:val="00124B6F"/>
    <w:rsid w:val="001264DD"/>
    <w:rsid w:val="0013096C"/>
    <w:rsid w:val="00132A6B"/>
    <w:rsid w:val="00133786"/>
    <w:rsid w:val="00142238"/>
    <w:rsid w:val="00143881"/>
    <w:rsid w:val="00143A92"/>
    <w:rsid w:val="00143E1C"/>
    <w:rsid w:val="0014532C"/>
    <w:rsid w:val="00147007"/>
    <w:rsid w:val="00153389"/>
    <w:rsid w:val="00172723"/>
    <w:rsid w:val="001740F3"/>
    <w:rsid w:val="001825E9"/>
    <w:rsid w:val="0018429D"/>
    <w:rsid w:val="00184A95"/>
    <w:rsid w:val="00187DFB"/>
    <w:rsid w:val="001912C3"/>
    <w:rsid w:val="00192890"/>
    <w:rsid w:val="001956AC"/>
    <w:rsid w:val="001A0A36"/>
    <w:rsid w:val="001C1B78"/>
    <w:rsid w:val="001D1413"/>
    <w:rsid w:val="001D3BD8"/>
    <w:rsid w:val="001F0F33"/>
    <w:rsid w:val="001F6A2B"/>
    <w:rsid w:val="002017D4"/>
    <w:rsid w:val="00205D85"/>
    <w:rsid w:val="0022444B"/>
    <w:rsid w:val="00224510"/>
    <w:rsid w:val="0022518A"/>
    <w:rsid w:val="00232560"/>
    <w:rsid w:val="0024037B"/>
    <w:rsid w:val="002413B5"/>
    <w:rsid w:val="00241AF6"/>
    <w:rsid w:val="00247547"/>
    <w:rsid w:val="00257152"/>
    <w:rsid w:val="00266F29"/>
    <w:rsid w:val="00271C0B"/>
    <w:rsid w:val="002801B2"/>
    <w:rsid w:val="002911B8"/>
    <w:rsid w:val="00292420"/>
    <w:rsid w:val="00293633"/>
    <w:rsid w:val="00295073"/>
    <w:rsid w:val="002A2A87"/>
    <w:rsid w:val="002A34B9"/>
    <w:rsid w:val="002A5E7F"/>
    <w:rsid w:val="002A601C"/>
    <w:rsid w:val="002B15E5"/>
    <w:rsid w:val="002C1F8C"/>
    <w:rsid w:val="002C3901"/>
    <w:rsid w:val="002C7812"/>
    <w:rsid w:val="002D0994"/>
    <w:rsid w:val="002D6950"/>
    <w:rsid w:val="002E4B20"/>
    <w:rsid w:val="002F37E5"/>
    <w:rsid w:val="00302821"/>
    <w:rsid w:val="003043AF"/>
    <w:rsid w:val="003062A4"/>
    <w:rsid w:val="003067AD"/>
    <w:rsid w:val="00306E2D"/>
    <w:rsid w:val="0031041D"/>
    <w:rsid w:val="003250C9"/>
    <w:rsid w:val="00325CF3"/>
    <w:rsid w:val="00325DD6"/>
    <w:rsid w:val="003433E3"/>
    <w:rsid w:val="003503EB"/>
    <w:rsid w:val="003577AC"/>
    <w:rsid w:val="00365BE4"/>
    <w:rsid w:val="0037476B"/>
    <w:rsid w:val="00374C47"/>
    <w:rsid w:val="00376E5B"/>
    <w:rsid w:val="00392793"/>
    <w:rsid w:val="003A5541"/>
    <w:rsid w:val="003A5BC4"/>
    <w:rsid w:val="003A66B8"/>
    <w:rsid w:val="003B03DE"/>
    <w:rsid w:val="003B3CBB"/>
    <w:rsid w:val="003B44C9"/>
    <w:rsid w:val="003B6526"/>
    <w:rsid w:val="003B663B"/>
    <w:rsid w:val="003C21D5"/>
    <w:rsid w:val="003D2AEB"/>
    <w:rsid w:val="003D45D5"/>
    <w:rsid w:val="003D6A3F"/>
    <w:rsid w:val="003E5D70"/>
    <w:rsid w:val="0040384B"/>
    <w:rsid w:val="00404142"/>
    <w:rsid w:val="00404C62"/>
    <w:rsid w:val="00414023"/>
    <w:rsid w:val="00416AB6"/>
    <w:rsid w:val="00417469"/>
    <w:rsid w:val="00421542"/>
    <w:rsid w:val="00423B8B"/>
    <w:rsid w:val="00424541"/>
    <w:rsid w:val="004264F2"/>
    <w:rsid w:val="00432472"/>
    <w:rsid w:val="0043248D"/>
    <w:rsid w:val="004377A7"/>
    <w:rsid w:val="004405B9"/>
    <w:rsid w:val="004443C1"/>
    <w:rsid w:val="004448FE"/>
    <w:rsid w:val="00447299"/>
    <w:rsid w:val="00450C1C"/>
    <w:rsid w:val="00453078"/>
    <w:rsid w:val="00453286"/>
    <w:rsid w:val="004574A6"/>
    <w:rsid w:val="00460B39"/>
    <w:rsid w:val="00460F44"/>
    <w:rsid w:val="00461227"/>
    <w:rsid w:val="00471311"/>
    <w:rsid w:val="0047462B"/>
    <w:rsid w:val="00483A9B"/>
    <w:rsid w:val="00486342"/>
    <w:rsid w:val="00487A1C"/>
    <w:rsid w:val="00491DCE"/>
    <w:rsid w:val="004922E4"/>
    <w:rsid w:val="004961F0"/>
    <w:rsid w:val="004A0AC8"/>
    <w:rsid w:val="004A1FA3"/>
    <w:rsid w:val="004A2117"/>
    <w:rsid w:val="004B4B9C"/>
    <w:rsid w:val="004B4CB0"/>
    <w:rsid w:val="004C32AD"/>
    <w:rsid w:val="004C5C24"/>
    <w:rsid w:val="004D2CB0"/>
    <w:rsid w:val="004D7E81"/>
    <w:rsid w:val="004E0540"/>
    <w:rsid w:val="004E2F89"/>
    <w:rsid w:val="004E5439"/>
    <w:rsid w:val="004E5DA3"/>
    <w:rsid w:val="004E678A"/>
    <w:rsid w:val="004F01B8"/>
    <w:rsid w:val="004F356E"/>
    <w:rsid w:val="005002E5"/>
    <w:rsid w:val="005021D6"/>
    <w:rsid w:val="00504B06"/>
    <w:rsid w:val="0051432E"/>
    <w:rsid w:val="00520D1B"/>
    <w:rsid w:val="005279FF"/>
    <w:rsid w:val="0053064D"/>
    <w:rsid w:val="005313CB"/>
    <w:rsid w:val="005459C7"/>
    <w:rsid w:val="0054719B"/>
    <w:rsid w:val="00551116"/>
    <w:rsid w:val="0055168D"/>
    <w:rsid w:val="00554F87"/>
    <w:rsid w:val="005707FC"/>
    <w:rsid w:val="00581237"/>
    <w:rsid w:val="00582753"/>
    <w:rsid w:val="00584193"/>
    <w:rsid w:val="00585D6F"/>
    <w:rsid w:val="00587375"/>
    <w:rsid w:val="005908A6"/>
    <w:rsid w:val="0059134F"/>
    <w:rsid w:val="005A2712"/>
    <w:rsid w:val="005A2D62"/>
    <w:rsid w:val="005A57C4"/>
    <w:rsid w:val="005B006C"/>
    <w:rsid w:val="005B2B1E"/>
    <w:rsid w:val="005B59AC"/>
    <w:rsid w:val="005C35E3"/>
    <w:rsid w:val="005D1BAC"/>
    <w:rsid w:val="005D2D9A"/>
    <w:rsid w:val="005E1BFF"/>
    <w:rsid w:val="005E4872"/>
    <w:rsid w:val="005E71AD"/>
    <w:rsid w:val="0060051E"/>
    <w:rsid w:val="0060222E"/>
    <w:rsid w:val="00605DBD"/>
    <w:rsid w:val="006118CA"/>
    <w:rsid w:val="00612021"/>
    <w:rsid w:val="00615961"/>
    <w:rsid w:val="00624C80"/>
    <w:rsid w:val="0063681E"/>
    <w:rsid w:val="00637756"/>
    <w:rsid w:val="00641624"/>
    <w:rsid w:val="006419ED"/>
    <w:rsid w:val="006425DC"/>
    <w:rsid w:val="0064408D"/>
    <w:rsid w:val="00645550"/>
    <w:rsid w:val="006457C8"/>
    <w:rsid w:val="00651C00"/>
    <w:rsid w:val="00653607"/>
    <w:rsid w:val="006538A2"/>
    <w:rsid w:val="00655C92"/>
    <w:rsid w:val="00660290"/>
    <w:rsid w:val="006660C4"/>
    <w:rsid w:val="00673CF3"/>
    <w:rsid w:val="00673EF2"/>
    <w:rsid w:val="00675247"/>
    <w:rsid w:val="006756BA"/>
    <w:rsid w:val="00683383"/>
    <w:rsid w:val="00694132"/>
    <w:rsid w:val="00695142"/>
    <w:rsid w:val="006A3747"/>
    <w:rsid w:val="006A5427"/>
    <w:rsid w:val="006A6315"/>
    <w:rsid w:val="006A67BE"/>
    <w:rsid w:val="006A6ECD"/>
    <w:rsid w:val="006B36A6"/>
    <w:rsid w:val="006B3790"/>
    <w:rsid w:val="006B5132"/>
    <w:rsid w:val="006B5688"/>
    <w:rsid w:val="006C34FB"/>
    <w:rsid w:val="006C6D8D"/>
    <w:rsid w:val="006D017D"/>
    <w:rsid w:val="006D0CBA"/>
    <w:rsid w:val="006D3416"/>
    <w:rsid w:val="006E7933"/>
    <w:rsid w:val="006F7C17"/>
    <w:rsid w:val="007022CD"/>
    <w:rsid w:val="00707870"/>
    <w:rsid w:val="00721B15"/>
    <w:rsid w:val="007248BB"/>
    <w:rsid w:val="00725D95"/>
    <w:rsid w:val="0072797A"/>
    <w:rsid w:val="00730C6B"/>
    <w:rsid w:val="007323F9"/>
    <w:rsid w:val="00751125"/>
    <w:rsid w:val="007566A3"/>
    <w:rsid w:val="00761373"/>
    <w:rsid w:val="00777FF0"/>
    <w:rsid w:val="00782E12"/>
    <w:rsid w:val="00783684"/>
    <w:rsid w:val="00785198"/>
    <w:rsid w:val="00790311"/>
    <w:rsid w:val="00791CD0"/>
    <w:rsid w:val="0079213F"/>
    <w:rsid w:val="00795670"/>
    <w:rsid w:val="00795952"/>
    <w:rsid w:val="007A1E92"/>
    <w:rsid w:val="007A33E9"/>
    <w:rsid w:val="007A514F"/>
    <w:rsid w:val="007A576A"/>
    <w:rsid w:val="007A5847"/>
    <w:rsid w:val="007B2C2E"/>
    <w:rsid w:val="007B486D"/>
    <w:rsid w:val="007B6CC8"/>
    <w:rsid w:val="007B727A"/>
    <w:rsid w:val="007C053A"/>
    <w:rsid w:val="007C25E6"/>
    <w:rsid w:val="007C7E8D"/>
    <w:rsid w:val="007D33A4"/>
    <w:rsid w:val="007D36C8"/>
    <w:rsid w:val="007E5DC0"/>
    <w:rsid w:val="00804F8C"/>
    <w:rsid w:val="00811F45"/>
    <w:rsid w:val="008176C9"/>
    <w:rsid w:val="00822E18"/>
    <w:rsid w:val="0082702E"/>
    <w:rsid w:val="008369CA"/>
    <w:rsid w:val="00842F86"/>
    <w:rsid w:val="00842FE0"/>
    <w:rsid w:val="00844372"/>
    <w:rsid w:val="00847E10"/>
    <w:rsid w:val="00850BFB"/>
    <w:rsid w:val="00855DF0"/>
    <w:rsid w:val="008578AD"/>
    <w:rsid w:val="0086315B"/>
    <w:rsid w:val="00863500"/>
    <w:rsid w:val="00865559"/>
    <w:rsid w:val="008729B7"/>
    <w:rsid w:val="00872FAD"/>
    <w:rsid w:val="008759D1"/>
    <w:rsid w:val="00875DE9"/>
    <w:rsid w:val="0088166F"/>
    <w:rsid w:val="008962DA"/>
    <w:rsid w:val="008A106E"/>
    <w:rsid w:val="008A29EE"/>
    <w:rsid w:val="008B015F"/>
    <w:rsid w:val="008B6477"/>
    <w:rsid w:val="008C38C3"/>
    <w:rsid w:val="008C4511"/>
    <w:rsid w:val="008D158C"/>
    <w:rsid w:val="008D18F5"/>
    <w:rsid w:val="008D4B81"/>
    <w:rsid w:val="008E0569"/>
    <w:rsid w:val="008E4475"/>
    <w:rsid w:val="008E46E9"/>
    <w:rsid w:val="008E491A"/>
    <w:rsid w:val="008E52FA"/>
    <w:rsid w:val="008E71B7"/>
    <w:rsid w:val="008F0326"/>
    <w:rsid w:val="008F18CD"/>
    <w:rsid w:val="008F27D0"/>
    <w:rsid w:val="008F3A48"/>
    <w:rsid w:val="008F44F4"/>
    <w:rsid w:val="008F696D"/>
    <w:rsid w:val="009055F6"/>
    <w:rsid w:val="009060B4"/>
    <w:rsid w:val="009113C6"/>
    <w:rsid w:val="009133D2"/>
    <w:rsid w:val="00917248"/>
    <w:rsid w:val="00920517"/>
    <w:rsid w:val="009219DF"/>
    <w:rsid w:val="009321FB"/>
    <w:rsid w:val="00940084"/>
    <w:rsid w:val="00942AA8"/>
    <w:rsid w:val="00944F91"/>
    <w:rsid w:val="00946010"/>
    <w:rsid w:val="00950D79"/>
    <w:rsid w:val="009511F5"/>
    <w:rsid w:val="00953EAD"/>
    <w:rsid w:val="00953FC1"/>
    <w:rsid w:val="0095629C"/>
    <w:rsid w:val="00966A41"/>
    <w:rsid w:val="00966EE3"/>
    <w:rsid w:val="0097581A"/>
    <w:rsid w:val="00984D99"/>
    <w:rsid w:val="00986F01"/>
    <w:rsid w:val="009934D7"/>
    <w:rsid w:val="00995568"/>
    <w:rsid w:val="00996CFF"/>
    <w:rsid w:val="00997F72"/>
    <w:rsid w:val="009A2F0F"/>
    <w:rsid w:val="009A336F"/>
    <w:rsid w:val="009A664C"/>
    <w:rsid w:val="009A6EA3"/>
    <w:rsid w:val="009B1601"/>
    <w:rsid w:val="009B16F4"/>
    <w:rsid w:val="009B1F4B"/>
    <w:rsid w:val="009B2EE7"/>
    <w:rsid w:val="009B68C2"/>
    <w:rsid w:val="009C06F1"/>
    <w:rsid w:val="009C590E"/>
    <w:rsid w:val="009C7965"/>
    <w:rsid w:val="009D3A5E"/>
    <w:rsid w:val="009D51E9"/>
    <w:rsid w:val="009F313E"/>
    <w:rsid w:val="009F36F7"/>
    <w:rsid w:val="009F4955"/>
    <w:rsid w:val="009F7D5E"/>
    <w:rsid w:val="00A0387A"/>
    <w:rsid w:val="00A143F2"/>
    <w:rsid w:val="00A15483"/>
    <w:rsid w:val="00A262BB"/>
    <w:rsid w:val="00A26665"/>
    <w:rsid w:val="00A27F7F"/>
    <w:rsid w:val="00A33A89"/>
    <w:rsid w:val="00A34642"/>
    <w:rsid w:val="00A34721"/>
    <w:rsid w:val="00A36EAE"/>
    <w:rsid w:val="00A421DB"/>
    <w:rsid w:val="00A42280"/>
    <w:rsid w:val="00A43BA5"/>
    <w:rsid w:val="00A447A7"/>
    <w:rsid w:val="00A4562F"/>
    <w:rsid w:val="00A50609"/>
    <w:rsid w:val="00A51B86"/>
    <w:rsid w:val="00A55127"/>
    <w:rsid w:val="00A5741D"/>
    <w:rsid w:val="00A57A41"/>
    <w:rsid w:val="00A57BC2"/>
    <w:rsid w:val="00A6129C"/>
    <w:rsid w:val="00A702F6"/>
    <w:rsid w:val="00A70CD3"/>
    <w:rsid w:val="00A76B4C"/>
    <w:rsid w:val="00A77A82"/>
    <w:rsid w:val="00A805D0"/>
    <w:rsid w:val="00A830A4"/>
    <w:rsid w:val="00A86ECE"/>
    <w:rsid w:val="00A9522B"/>
    <w:rsid w:val="00A97498"/>
    <w:rsid w:val="00AA0AFD"/>
    <w:rsid w:val="00AA553E"/>
    <w:rsid w:val="00AA6299"/>
    <w:rsid w:val="00AA6F38"/>
    <w:rsid w:val="00AB0E3E"/>
    <w:rsid w:val="00AB0F29"/>
    <w:rsid w:val="00AB16FD"/>
    <w:rsid w:val="00AB1B56"/>
    <w:rsid w:val="00AC5B30"/>
    <w:rsid w:val="00AD051D"/>
    <w:rsid w:val="00AD439D"/>
    <w:rsid w:val="00AE38E1"/>
    <w:rsid w:val="00AE3B05"/>
    <w:rsid w:val="00B009DF"/>
    <w:rsid w:val="00B0301E"/>
    <w:rsid w:val="00B0382E"/>
    <w:rsid w:val="00B15F5A"/>
    <w:rsid w:val="00B17801"/>
    <w:rsid w:val="00B178F3"/>
    <w:rsid w:val="00B22F0A"/>
    <w:rsid w:val="00B23172"/>
    <w:rsid w:val="00B24159"/>
    <w:rsid w:val="00B267BF"/>
    <w:rsid w:val="00B43C87"/>
    <w:rsid w:val="00B44915"/>
    <w:rsid w:val="00B53844"/>
    <w:rsid w:val="00B55475"/>
    <w:rsid w:val="00B630FD"/>
    <w:rsid w:val="00B65752"/>
    <w:rsid w:val="00B70CE9"/>
    <w:rsid w:val="00B733F2"/>
    <w:rsid w:val="00B73C76"/>
    <w:rsid w:val="00B76877"/>
    <w:rsid w:val="00B81C6B"/>
    <w:rsid w:val="00B828ED"/>
    <w:rsid w:val="00B8711A"/>
    <w:rsid w:val="00B915C8"/>
    <w:rsid w:val="00B9239E"/>
    <w:rsid w:val="00BA1262"/>
    <w:rsid w:val="00BA22C4"/>
    <w:rsid w:val="00BA2C1F"/>
    <w:rsid w:val="00BA3059"/>
    <w:rsid w:val="00BA3AEC"/>
    <w:rsid w:val="00BA66DE"/>
    <w:rsid w:val="00BA76BF"/>
    <w:rsid w:val="00BA7800"/>
    <w:rsid w:val="00BB10F5"/>
    <w:rsid w:val="00BB161D"/>
    <w:rsid w:val="00BB2DFB"/>
    <w:rsid w:val="00BC0FBB"/>
    <w:rsid w:val="00BC1754"/>
    <w:rsid w:val="00BC239E"/>
    <w:rsid w:val="00BC2A16"/>
    <w:rsid w:val="00BD0028"/>
    <w:rsid w:val="00BD045D"/>
    <w:rsid w:val="00BD343D"/>
    <w:rsid w:val="00BD54A7"/>
    <w:rsid w:val="00BD6F7F"/>
    <w:rsid w:val="00BE1D72"/>
    <w:rsid w:val="00BE30B8"/>
    <w:rsid w:val="00BE47F0"/>
    <w:rsid w:val="00BE5A53"/>
    <w:rsid w:val="00BF5398"/>
    <w:rsid w:val="00BF6216"/>
    <w:rsid w:val="00C019BA"/>
    <w:rsid w:val="00C05EA3"/>
    <w:rsid w:val="00C070B0"/>
    <w:rsid w:val="00C12622"/>
    <w:rsid w:val="00C132B5"/>
    <w:rsid w:val="00C13FBA"/>
    <w:rsid w:val="00C15796"/>
    <w:rsid w:val="00C25AA4"/>
    <w:rsid w:val="00C263DC"/>
    <w:rsid w:val="00C3418C"/>
    <w:rsid w:val="00C537D4"/>
    <w:rsid w:val="00C61280"/>
    <w:rsid w:val="00C67F72"/>
    <w:rsid w:val="00C71B5D"/>
    <w:rsid w:val="00C728BF"/>
    <w:rsid w:val="00C81258"/>
    <w:rsid w:val="00C87FF4"/>
    <w:rsid w:val="00C90235"/>
    <w:rsid w:val="00C93CEC"/>
    <w:rsid w:val="00C94AF1"/>
    <w:rsid w:val="00C9666F"/>
    <w:rsid w:val="00C974B7"/>
    <w:rsid w:val="00CA4DF8"/>
    <w:rsid w:val="00CB441A"/>
    <w:rsid w:val="00CC1494"/>
    <w:rsid w:val="00CC591D"/>
    <w:rsid w:val="00CC6F14"/>
    <w:rsid w:val="00CC7B7A"/>
    <w:rsid w:val="00CD1016"/>
    <w:rsid w:val="00CD1A87"/>
    <w:rsid w:val="00CD3BBA"/>
    <w:rsid w:val="00CE2B7A"/>
    <w:rsid w:val="00CF1775"/>
    <w:rsid w:val="00CF3F74"/>
    <w:rsid w:val="00CF4E26"/>
    <w:rsid w:val="00CF51ED"/>
    <w:rsid w:val="00D0047B"/>
    <w:rsid w:val="00D023A9"/>
    <w:rsid w:val="00D04B66"/>
    <w:rsid w:val="00D10836"/>
    <w:rsid w:val="00D117A8"/>
    <w:rsid w:val="00D13CC6"/>
    <w:rsid w:val="00D17888"/>
    <w:rsid w:val="00D2168F"/>
    <w:rsid w:val="00D22D39"/>
    <w:rsid w:val="00D25DED"/>
    <w:rsid w:val="00D26B31"/>
    <w:rsid w:val="00D2719E"/>
    <w:rsid w:val="00D312DF"/>
    <w:rsid w:val="00D3433F"/>
    <w:rsid w:val="00D36A1D"/>
    <w:rsid w:val="00D46006"/>
    <w:rsid w:val="00D46B16"/>
    <w:rsid w:val="00D56959"/>
    <w:rsid w:val="00D73A7A"/>
    <w:rsid w:val="00D7779C"/>
    <w:rsid w:val="00D77CD7"/>
    <w:rsid w:val="00D82CF2"/>
    <w:rsid w:val="00D83BDC"/>
    <w:rsid w:val="00D83E1F"/>
    <w:rsid w:val="00D855D1"/>
    <w:rsid w:val="00DA1684"/>
    <w:rsid w:val="00DA2B4E"/>
    <w:rsid w:val="00DA695E"/>
    <w:rsid w:val="00DB051F"/>
    <w:rsid w:val="00DB0BCC"/>
    <w:rsid w:val="00DB2021"/>
    <w:rsid w:val="00DB5CD5"/>
    <w:rsid w:val="00DC6AB9"/>
    <w:rsid w:val="00DC6F4A"/>
    <w:rsid w:val="00DD0A71"/>
    <w:rsid w:val="00DD712E"/>
    <w:rsid w:val="00DE193C"/>
    <w:rsid w:val="00DE367F"/>
    <w:rsid w:val="00DE47F3"/>
    <w:rsid w:val="00DF196E"/>
    <w:rsid w:val="00E1078A"/>
    <w:rsid w:val="00E13DD2"/>
    <w:rsid w:val="00E15CEA"/>
    <w:rsid w:val="00E26FB3"/>
    <w:rsid w:val="00E30502"/>
    <w:rsid w:val="00E33905"/>
    <w:rsid w:val="00E339E0"/>
    <w:rsid w:val="00E36508"/>
    <w:rsid w:val="00E47A29"/>
    <w:rsid w:val="00E5260B"/>
    <w:rsid w:val="00E55638"/>
    <w:rsid w:val="00E561F3"/>
    <w:rsid w:val="00E6055F"/>
    <w:rsid w:val="00E61189"/>
    <w:rsid w:val="00E6145F"/>
    <w:rsid w:val="00E7047C"/>
    <w:rsid w:val="00E7192A"/>
    <w:rsid w:val="00E73217"/>
    <w:rsid w:val="00E7377D"/>
    <w:rsid w:val="00E76164"/>
    <w:rsid w:val="00E76AF5"/>
    <w:rsid w:val="00E85B9E"/>
    <w:rsid w:val="00E85D8C"/>
    <w:rsid w:val="00E8723E"/>
    <w:rsid w:val="00E9012D"/>
    <w:rsid w:val="00E94460"/>
    <w:rsid w:val="00EA0D68"/>
    <w:rsid w:val="00EA2092"/>
    <w:rsid w:val="00EA688D"/>
    <w:rsid w:val="00EB1BB1"/>
    <w:rsid w:val="00EB7D1D"/>
    <w:rsid w:val="00EC2370"/>
    <w:rsid w:val="00EC5B62"/>
    <w:rsid w:val="00EC6EF3"/>
    <w:rsid w:val="00EC742F"/>
    <w:rsid w:val="00EC77C5"/>
    <w:rsid w:val="00ED1473"/>
    <w:rsid w:val="00ED19F7"/>
    <w:rsid w:val="00ED2605"/>
    <w:rsid w:val="00ED3AB6"/>
    <w:rsid w:val="00EE530D"/>
    <w:rsid w:val="00EE64AF"/>
    <w:rsid w:val="00EF579D"/>
    <w:rsid w:val="00EF653F"/>
    <w:rsid w:val="00EF6E49"/>
    <w:rsid w:val="00F03362"/>
    <w:rsid w:val="00F03AC4"/>
    <w:rsid w:val="00F03F2A"/>
    <w:rsid w:val="00F04BBC"/>
    <w:rsid w:val="00F06C83"/>
    <w:rsid w:val="00F15D0D"/>
    <w:rsid w:val="00F16151"/>
    <w:rsid w:val="00F165DE"/>
    <w:rsid w:val="00F219FC"/>
    <w:rsid w:val="00F21DB2"/>
    <w:rsid w:val="00F27878"/>
    <w:rsid w:val="00F27AFD"/>
    <w:rsid w:val="00F30220"/>
    <w:rsid w:val="00F31B22"/>
    <w:rsid w:val="00F32007"/>
    <w:rsid w:val="00F32A68"/>
    <w:rsid w:val="00F36E78"/>
    <w:rsid w:val="00F411E0"/>
    <w:rsid w:val="00F4383D"/>
    <w:rsid w:val="00F5054F"/>
    <w:rsid w:val="00F56F38"/>
    <w:rsid w:val="00F628F3"/>
    <w:rsid w:val="00F650A7"/>
    <w:rsid w:val="00F71B06"/>
    <w:rsid w:val="00F72F85"/>
    <w:rsid w:val="00F73863"/>
    <w:rsid w:val="00F77FCC"/>
    <w:rsid w:val="00F81CF6"/>
    <w:rsid w:val="00F8472D"/>
    <w:rsid w:val="00F84F1D"/>
    <w:rsid w:val="00FA447D"/>
    <w:rsid w:val="00FA77BC"/>
    <w:rsid w:val="00FC3DA4"/>
    <w:rsid w:val="00FC4167"/>
    <w:rsid w:val="00FC5822"/>
    <w:rsid w:val="00FC5CD7"/>
    <w:rsid w:val="00FD3515"/>
    <w:rsid w:val="00FD5FA7"/>
    <w:rsid w:val="00FE37EA"/>
    <w:rsid w:val="00FF2543"/>
    <w:rsid w:val="00FF6886"/>
    <w:rsid w:val="00FF7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B5DC3"/>
  <w15:chartTrackingRefBased/>
  <w15:docId w15:val="{C79F2F7F-4F81-4ECC-8071-A8A80D53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8AD"/>
    <w:pPr>
      <w:spacing w:after="200" w:line="276" w:lineRule="auto"/>
    </w:pPr>
    <w:rPr>
      <w:sz w:val="22"/>
      <w:szCs w:val="22"/>
      <w:lang w:eastAsia="en-US"/>
    </w:rPr>
  </w:style>
  <w:style w:type="paragraph" w:styleId="Heading5">
    <w:name w:val="heading 5"/>
    <w:basedOn w:val="Normal"/>
    <w:next w:val="Normal"/>
    <w:link w:val="Heading5Char"/>
    <w:semiHidden/>
    <w:unhideWhenUsed/>
    <w:qFormat/>
    <w:rsid w:val="00292420"/>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189"/>
    <w:pPr>
      <w:tabs>
        <w:tab w:val="center" w:pos="4513"/>
        <w:tab w:val="right" w:pos="9026"/>
      </w:tabs>
    </w:pPr>
  </w:style>
  <w:style w:type="character" w:customStyle="1" w:styleId="HeaderChar">
    <w:name w:val="Header Char"/>
    <w:link w:val="Header"/>
    <w:uiPriority w:val="99"/>
    <w:rsid w:val="00E61189"/>
    <w:rPr>
      <w:sz w:val="22"/>
      <w:szCs w:val="22"/>
      <w:lang w:eastAsia="en-US"/>
    </w:rPr>
  </w:style>
  <w:style w:type="paragraph" w:styleId="Footer">
    <w:name w:val="footer"/>
    <w:basedOn w:val="Normal"/>
    <w:link w:val="FooterChar"/>
    <w:uiPriority w:val="99"/>
    <w:unhideWhenUsed/>
    <w:rsid w:val="00E61189"/>
    <w:pPr>
      <w:tabs>
        <w:tab w:val="center" w:pos="4513"/>
        <w:tab w:val="right" w:pos="9026"/>
      </w:tabs>
    </w:pPr>
  </w:style>
  <w:style w:type="character" w:customStyle="1" w:styleId="FooterChar">
    <w:name w:val="Footer Char"/>
    <w:link w:val="Footer"/>
    <w:uiPriority w:val="99"/>
    <w:rsid w:val="00E61189"/>
    <w:rPr>
      <w:sz w:val="22"/>
      <w:szCs w:val="22"/>
      <w:lang w:eastAsia="en-US"/>
    </w:rPr>
  </w:style>
  <w:style w:type="paragraph" w:styleId="BalloonText">
    <w:name w:val="Balloon Text"/>
    <w:basedOn w:val="Normal"/>
    <w:link w:val="BalloonTextChar"/>
    <w:uiPriority w:val="99"/>
    <w:semiHidden/>
    <w:unhideWhenUsed/>
    <w:rsid w:val="00E61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189"/>
    <w:rPr>
      <w:rFonts w:ascii="Tahoma" w:hAnsi="Tahoma" w:cs="Tahoma"/>
      <w:sz w:val="16"/>
      <w:szCs w:val="16"/>
      <w:lang w:eastAsia="en-US"/>
    </w:rPr>
  </w:style>
  <w:style w:type="paragraph" w:styleId="PlainText">
    <w:name w:val="Plain Text"/>
    <w:basedOn w:val="Normal"/>
    <w:link w:val="PlainTextChar"/>
    <w:uiPriority w:val="99"/>
    <w:unhideWhenUsed/>
    <w:rsid w:val="00F56F38"/>
    <w:pPr>
      <w:spacing w:after="0" w:line="240" w:lineRule="auto"/>
    </w:pPr>
    <w:rPr>
      <w:szCs w:val="21"/>
    </w:rPr>
  </w:style>
  <w:style w:type="character" w:customStyle="1" w:styleId="PlainTextChar">
    <w:name w:val="Plain Text Char"/>
    <w:link w:val="PlainText"/>
    <w:uiPriority w:val="99"/>
    <w:rsid w:val="00F56F38"/>
    <w:rPr>
      <w:sz w:val="22"/>
      <w:szCs w:val="21"/>
      <w:lang w:eastAsia="en-US"/>
    </w:rPr>
  </w:style>
  <w:style w:type="paragraph" w:styleId="NoSpacing">
    <w:name w:val="No Spacing"/>
    <w:uiPriority w:val="1"/>
    <w:qFormat/>
    <w:rsid w:val="00092588"/>
    <w:rPr>
      <w:sz w:val="22"/>
      <w:szCs w:val="22"/>
      <w:lang w:eastAsia="en-US"/>
    </w:rPr>
  </w:style>
  <w:style w:type="paragraph" w:styleId="ListParagraph">
    <w:name w:val="List Paragraph"/>
    <w:basedOn w:val="Normal"/>
    <w:uiPriority w:val="34"/>
    <w:qFormat/>
    <w:rsid w:val="00BD343D"/>
    <w:pPr>
      <w:ind w:left="720"/>
      <w:contextualSpacing/>
    </w:pPr>
  </w:style>
  <w:style w:type="character" w:customStyle="1" w:styleId="Heading5Char">
    <w:name w:val="Heading 5 Char"/>
    <w:basedOn w:val="DefaultParagraphFont"/>
    <w:link w:val="Heading5"/>
    <w:semiHidden/>
    <w:rsid w:val="00292420"/>
    <w:rPr>
      <w:rFonts w:asciiTheme="majorHAnsi" w:eastAsiaTheme="majorEastAsia" w:hAnsiTheme="majorHAnsi" w:cstheme="majorBidi"/>
      <w:color w:val="2F5496" w:themeColor="accent1" w:themeShade="BF"/>
      <w:sz w:val="24"/>
      <w:szCs w:val="24"/>
      <w:lang w:val="en-US" w:eastAsia="en-US"/>
    </w:rPr>
  </w:style>
  <w:style w:type="paragraph" w:customStyle="1" w:styleId="Body11">
    <w:name w:val="Body 1.1"/>
    <w:basedOn w:val="Header1"/>
    <w:qFormat/>
    <w:rsid w:val="008B6477"/>
    <w:pPr>
      <w:numPr>
        <w:ilvl w:val="1"/>
      </w:numPr>
      <w:spacing w:before="200"/>
      <w:ind w:left="788" w:hanging="431"/>
      <w:jc w:val="both"/>
    </w:pPr>
    <w:rPr>
      <w:b w:val="0"/>
      <w:caps w:val="0"/>
    </w:rPr>
  </w:style>
  <w:style w:type="paragraph" w:customStyle="1" w:styleId="Header1">
    <w:name w:val="Header 1"/>
    <w:basedOn w:val="Normal"/>
    <w:qFormat/>
    <w:rsid w:val="008B6477"/>
    <w:pPr>
      <w:numPr>
        <w:numId w:val="34"/>
      </w:numPr>
      <w:spacing w:before="480"/>
      <w:ind w:left="357" w:hanging="357"/>
    </w:pPr>
    <w:rPr>
      <w:rFonts w:ascii="Arial" w:hAnsi="Arial"/>
      <w:b/>
      <w:caps/>
    </w:rPr>
  </w:style>
  <w:style w:type="paragraph" w:customStyle="1" w:styleId="Body111">
    <w:name w:val="Body 1.1.1"/>
    <w:basedOn w:val="Body11"/>
    <w:qFormat/>
    <w:rsid w:val="008B6477"/>
    <w:pPr>
      <w:numPr>
        <w:ilvl w:val="2"/>
      </w:numPr>
      <w:ind w:left="1560"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0414">
      <w:bodyDiv w:val="1"/>
      <w:marLeft w:val="0"/>
      <w:marRight w:val="0"/>
      <w:marTop w:val="0"/>
      <w:marBottom w:val="0"/>
      <w:divBdr>
        <w:top w:val="none" w:sz="0" w:space="0" w:color="auto"/>
        <w:left w:val="none" w:sz="0" w:space="0" w:color="auto"/>
        <w:bottom w:val="none" w:sz="0" w:space="0" w:color="auto"/>
        <w:right w:val="none" w:sz="0" w:space="0" w:color="auto"/>
      </w:divBdr>
    </w:div>
    <w:div w:id="924068025">
      <w:bodyDiv w:val="1"/>
      <w:marLeft w:val="0"/>
      <w:marRight w:val="0"/>
      <w:marTop w:val="0"/>
      <w:marBottom w:val="0"/>
      <w:divBdr>
        <w:top w:val="none" w:sz="0" w:space="0" w:color="auto"/>
        <w:left w:val="none" w:sz="0" w:space="0" w:color="auto"/>
        <w:bottom w:val="none" w:sz="0" w:space="0" w:color="auto"/>
        <w:right w:val="none" w:sz="0" w:space="0" w:color="auto"/>
      </w:divBdr>
    </w:div>
    <w:div w:id="1243102783">
      <w:bodyDiv w:val="1"/>
      <w:marLeft w:val="0"/>
      <w:marRight w:val="0"/>
      <w:marTop w:val="0"/>
      <w:marBottom w:val="0"/>
      <w:divBdr>
        <w:top w:val="none" w:sz="0" w:space="0" w:color="auto"/>
        <w:left w:val="none" w:sz="0" w:space="0" w:color="auto"/>
        <w:bottom w:val="none" w:sz="0" w:space="0" w:color="auto"/>
        <w:right w:val="none" w:sz="0" w:space="0" w:color="auto"/>
      </w:divBdr>
    </w:div>
    <w:div w:id="1374882999">
      <w:bodyDiv w:val="1"/>
      <w:marLeft w:val="0"/>
      <w:marRight w:val="0"/>
      <w:marTop w:val="0"/>
      <w:marBottom w:val="0"/>
      <w:divBdr>
        <w:top w:val="none" w:sz="0" w:space="0" w:color="auto"/>
        <w:left w:val="none" w:sz="0" w:space="0" w:color="auto"/>
        <w:bottom w:val="none" w:sz="0" w:space="0" w:color="auto"/>
        <w:right w:val="none" w:sz="0" w:space="0" w:color="auto"/>
      </w:divBdr>
    </w:div>
    <w:div w:id="1414816678">
      <w:bodyDiv w:val="1"/>
      <w:marLeft w:val="0"/>
      <w:marRight w:val="0"/>
      <w:marTop w:val="0"/>
      <w:marBottom w:val="0"/>
      <w:divBdr>
        <w:top w:val="none" w:sz="0" w:space="0" w:color="auto"/>
        <w:left w:val="none" w:sz="0" w:space="0" w:color="auto"/>
        <w:bottom w:val="none" w:sz="0" w:space="0" w:color="auto"/>
        <w:right w:val="none" w:sz="0" w:space="0" w:color="auto"/>
      </w:divBdr>
    </w:div>
    <w:div w:id="16247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6B46-ACF1-46CF-A98B-ABC2D040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Northampton Borough Council</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Taylor</dc:creator>
  <cp:keywords/>
  <cp:lastModifiedBy>Charlotte Griffiths</cp:lastModifiedBy>
  <cp:revision>2</cp:revision>
  <cp:lastPrinted>2014-09-29T10:55:00Z</cp:lastPrinted>
  <dcterms:created xsi:type="dcterms:W3CDTF">2024-02-16T11:14:00Z</dcterms:created>
  <dcterms:modified xsi:type="dcterms:W3CDTF">2024-02-16T11:14:00Z</dcterms:modified>
</cp:coreProperties>
</file>