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2C3B" w14:textId="6B18A6AB" w:rsidR="00404142" w:rsidRPr="0086282F" w:rsidRDefault="00404142" w:rsidP="00404142">
      <w:pPr>
        <w:spacing w:after="0"/>
        <w:jc w:val="center"/>
        <w:rPr>
          <w:b/>
          <w:bCs/>
          <w:sz w:val="32"/>
          <w:szCs w:val="32"/>
        </w:rPr>
      </w:pPr>
      <w:r w:rsidRPr="0086282F">
        <w:rPr>
          <w:b/>
          <w:bCs/>
          <w:sz w:val="32"/>
          <w:szCs w:val="32"/>
        </w:rPr>
        <w:t>Northampton</w:t>
      </w:r>
      <w:r w:rsidR="006A3747" w:rsidRPr="0086282F">
        <w:rPr>
          <w:b/>
          <w:bCs/>
          <w:sz w:val="32"/>
          <w:szCs w:val="32"/>
        </w:rPr>
        <w:t>shire</w:t>
      </w:r>
      <w:r w:rsidRPr="0086282F">
        <w:rPr>
          <w:b/>
          <w:bCs/>
          <w:sz w:val="32"/>
          <w:szCs w:val="32"/>
        </w:rPr>
        <w:t xml:space="preserve"> Partnership Homes Limited</w:t>
      </w:r>
    </w:p>
    <w:p w14:paraId="5BB0875C" w14:textId="21EB347E" w:rsidR="00404142" w:rsidRDefault="00404142" w:rsidP="00404142">
      <w:pPr>
        <w:pStyle w:val="Footer"/>
        <w:spacing w:after="0" w:line="240" w:lineRule="auto"/>
        <w:jc w:val="center"/>
        <w:rPr>
          <w:bCs/>
          <w:sz w:val="16"/>
          <w:szCs w:val="16"/>
        </w:rPr>
      </w:pPr>
      <w:r>
        <w:rPr>
          <w:bCs/>
          <w:sz w:val="16"/>
          <w:szCs w:val="16"/>
        </w:rPr>
        <w:t xml:space="preserve">Company No: 09019453 Registered Address: </w:t>
      </w:r>
      <w:r w:rsidR="00CC2B5E" w:rsidRPr="00CC2B5E">
        <w:rPr>
          <w:bCs/>
          <w:sz w:val="16"/>
          <w:szCs w:val="16"/>
        </w:rPr>
        <w:t>One Angel Square, Angel Street, Northampton, NN1 1ED</w:t>
      </w:r>
    </w:p>
    <w:p w14:paraId="1E45A98B" w14:textId="77777777" w:rsidR="00404142" w:rsidRDefault="00404142" w:rsidP="00404142">
      <w:pPr>
        <w:spacing w:after="0" w:line="240" w:lineRule="auto"/>
        <w:jc w:val="center"/>
        <w:rPr>
          <w:rFonts w:cs="Arial"/>
          <w:b/>
          <w:sz w:val="28"/>
          <w:szCs w:val="28"/>
        </w:rPr>
      </w:pPr>
    </w:p>
    <w:p w14:paraId="30247BBD" w14:textId="77777777" w:rsidR="00773B8A" w:rsidRPr="0086282F" w:rsidRDefault="00B70CE9" w:rsidP="00A702F6">
      <w:pPr>
        <w:jc w:val="center"/>
        <w:rPr>
          <w:rFonts w:cs="Arial"/>
          <w:b/>
          <w:sz w:val="24"/>
          <w:szCs w:val="24"/>
        </w:rPr>
      </w:pPr>
      <w:r w:rsidRPr="0086282F">
        <w:rPr>
          <w:rFonts w:cs="Arial"/>
          <w:b/>
          <w:sz w:val="24"/>
          <w:szCs w:val="24"/>
        </w:rPr>
        <w:t>Minutes</w:t>
      </w:r>
    </w:p>
    <w:p w14:paraId="3023D940" w14:textId="77777777" w:rsidR="00773B8A" w:rsidRPr="0086282F" w:rsidRDefault="00865CB6" w:rsidP="00A702F6">
      <w:pPr>
        <w:jc w:val="center"/>
        <w:rPr>
          <w:rFonts w:cs="Arial"/>
          <w:b/>
          <w:sz w:val="24"/>
          <w:szCs w:val="24"/>
        </w:rPr>
      </w:pPr>
      <w:r w:rsidRPr="0086282F">
        <w:rPr>
          <w:rFonts w:cs="Arial"/>
          <w:b/>
          <w:sz w:val="24"/>
          <w:szCs w:val="24"/>
        </w:rPr>
        <w:t xml:space="preserve">NPH Board Meeting </w:t>
      </w:r>
    </w:p>
    <w:p w14:paraId="70849D69" w14:textId="62AD5F09" w:rsidR="00381456" w:rsidRPr="0086282F" w:rsidRDefault="00773B8A" w:rsidP="00A702F6">
      <w:pPr>
        <w:jc w:val="center"/>
        <w:rPr>
          <w:rFonts w:cs="Arial"/>
          <w:b/>
          <w:sz w:val="24"/>
          <w:szCs w:val="24"/>
        </w:rPr>
      </w:pPr>
      <w:r w:rsidRPr="0086282F">
        <w:rPr>
          <w:rFonts w:cs="Arial"/>
          <w:b/>
          <w:sz w:val="24"/>
          <w:szCs w:val="24"/>
        </w:rPr>
        <w:t>11 February</w:t>
      </w:r>
      <w:r w:rsidR="00381456" w:rsidRPr="0086282F">
        <w:rPr>
          <w:rFonts w:cs="Arial"/>
          <w:b/>
          <w:sz w:val="24"/>
          <w:szCs w:val="24"/>
        </w:rPr>
        <w:t xml:space="preserve"> 202</w:t>
      </w:r>
      <w:r w:rsidRPr="0086282F">
        <w:rPr>
          <w:rFonts w:cs="Arial"/>
          <w:b/>
          <w:sz w:val="24"/>
          <w:szCs w:val="24"/>
        </w:rPr>
        <w:t>6</w:t>
      </w:r>
    </w:p>
    <w:p w14:paraId="6C7DA84A" w14:textId="6E3EBD85" w:rsidR="003C21D5" w:rsidRPr="0086282F" w:rsidRDefault="003C21D5" w:rsidP="003C21D5">
      <w:pPr>
        <w:spacing w:after="0" w:line="240" w:lineRule="auto"/>
        <w:jc w:val="center"/>
        <w:rPr>
          <w:rFonts w:cs="Arial"/>
          <w:i/>
          <w:sz w:val="20"/>
          <w:szCs w:val="20"/>
        </w:rPr>
      </w:pPr>
      <w:r w:rsidRPr="0086282F">
        <w:rPr>
          <w:rFonts w:cs="Arial"/>
          <w:i/>
          <w:sz w:val="20"/>
          <w:szCs w:val="20"/>
        </w:rPr>
        <w:t>Lee Room, Westbridge Depot, St James Mill Road, Northampton NN5 5JW</w:t>
      </w:r>
    </w:p>
    <w:p w14:paraId="77F9860F" w14:textId="6091B4E5" w:rsidR="0006210C" w:rsidRPr="0086282F" w:rsidRDefault="0006210C" w:rsidP="003C21D5">
      <w:pPr>
        <w:spacing w:after="0" w:line="240" w:lineRule="auto"/>
        <w:jc w:val="center"/>
        <w:rPr>
          <w:rFonts w:cs="Arial"/>
          <w:i/>
          <w:sz w:val="20"/>
          <w:szCs w:val="20"/>
        </w:rPr>
      </w:pPr>
      <w:r w:rsidRPr="0086282F">
        <w:rPr>
          <w:rFonts w:cs="Arial"/>
          <w:i/>
          <w:sz w:val="20"/>
          <w:szCs w:val="20"/>
        </w:rPr>
        <w:t>And Teams.</w:t>
      </w:r>
    </w:p>
    <w:p w14:paraId="2BAE10C6" w14:textId="77777777" w:rsidR="003C21D5" w:rsidRPr="00224510" w:rsidRDefault="003C21D5" w:rsidP="00A702F6">
      <w:pPr>
        <w:jc w:val="center"/>
        <w:rPr>
          <w:rFonts w:cs="Arial"/>
          <w:b/>
          <w:sz w:val="28"/>
          <w:szCs w:val="28"/>
        </w:rPr>
      </w:pPr>
    </w:p>
    <w:p w14:paraId="4FC6595D" w14:textId="77777777" w:rsidR="00132A6B" w:rsidRPr="00224510" w:rsidRDefault="00C25AA4" w:rsidP="00615961">
      <w:pPr>
        <w:tabs>
          <w:tab w:val="left" w:pos="3300"/>
        </w:tabs>
        <w:spacing w:after="0" w:line="240" w:lineRule="auto"/>
        <w:rPr>
          <w:rFonts w:cs="Arial"/>
          <w:sz w:val="24"/>
          <w:szCs w:val="24"/>
        </w:rPr>
      </w:pPr>
      <w:r w:rsidRPr="00224510">
        <w:rPr>
          <w:rFonts w:cs="Arial"/>
          <w:b/>
          <w:sz w:val="24"/>
          <w:szCs w:val="24"/>
        </w:rPr>
        <w:t>Present</w:t>
      </w:r>
      <w:r w:rsidR="00EB1BB1" w:rsidRPr="00224510">
        <w:rPr>
          <w:rFonts w:cs="Arial"/>
          <w:sz w:val="24"/>
          <w:szCs w:val="24"/>
        </w:rPr>
        <w:t xml:space="preserve">  </w:t>
      </w:r>
      <w:r w:rsidR="00615961">
        <w:rPr>
          <w:rFonts w:cs="Arial"/>
          <w:sz w:val="24"/>
          <w:szCs w:val="24"/>
        </w:rPr>
        <w:tab/>
      </w:r>
    </w:p>
    <w:p w14:paraId="24E849E5" w14:textId="77777777" w:rsidR="00773B8A" w:rsidRPr="00224510" w:rsidRDefault="00773B8A" w:rsidP="00773B8A">
      <w:pPr>
        <w:spacing w:after="0" w:line="240" w:lineRule="auto"/>
        <w:rPr>
          <w:rFonts w:cs="Arial"/>
          <w:b/>
          <w:sz w:val="24"/>
          <w:szCs w:val="24"/>
        </w:rPr>
      </w:pPr>
      <w:r w:rsidRPr="00224510">
        <w:rPr>
          <w:rFonts w:cs="Arial"/>
          <w:b/>
          <w:sz w:val="24"/>
          <w:szCs w:val="24"/>
        </w:rPr>
        <w:t>Board Members:</w:t>
      </w:r>
    </w:p>
    <w:p w14:paraId="72FB5D89" w14:textId="217B8FBE" w:rsidR="00773B8A" w:rsidRDefault="00773B8A" w:rsidP="00773B8A">
      <w:pPr>
        <w:spacing w:after="0"/>
        <w:rPr>
          <w:rFonts w:cs="Arial"/>
          <w:sz w:val="24"/>
          <w:szCs w:val="24"/>
          <w:lang w:eastAsia="ar-SA"/>
        </w:rPr>
      </w:pPr>
      <w:r w:rsidRPr="00865CB6">
        <w:rPr>
          <w:rFonts w:cs="Arial"/>
          <w:iCs/>
          <w:sz w:val="24"/>
          <w:szCs w:val="24"/>
          <w:lang w:eastAsia="ar-SA"/>
        </w:rPr>
        <w:t>Aileen Evans (AE)</w:t>
      </w:r>
      <w:r w:rsidRPr="00865CB6">
        <w:rPr>
          <w:rFonts w:cs="Arial"/>
          <w:i/>
          <w:sz w:val="24"/>
          <w:szCs w:val="24"/>
          <w:lang w:eastAsia="ar-SA"/>
        </w:rPr>
        <w:t xml:space="preserve"> Chair</w:t>
      </w:r>
      <w:r w:rsidRPr="00865CB6">
        <w:rPr>
          <w:rFonts w:cs="Arial"/>
          <w:sz w:val="24"/>
          <w:szCs w:val="24"/>
          <w:lang w:eastAsia="ar-SA"/>
        </w:rPr>
        <w:t>,</w:t>
      </w:r>
      <w:r>
        <w:rPr>
          <w:rFonts w:cs="Arial"/>
          <w:sz w:val="24"/>
          <w:szCs w:val="24"/>
          <w:lang w:eastAsia="ar-SA"/>
        </w:rPr>
        <w:t xml:space="preserve"> John Atkinson (JA), </w:t>
      </w:r>
      <w:r w:rsidR="00CF0816" w:rsidRPr="00865CB6">
        <w:rPr>
          <w:rFonts w:cs="Arial"/>
          <w:sz w:val="24"/>
          <w:szCs w:val="24"/>
          <w:lang w:eastAsia="ar-SA"/>
        </w:rPr>
        <w:t xml:space="preserve">David Godfrey (DG), </w:t>
      </w:r>
      <w:r>
        <w:rPr>
          <w:rFonts w:cs="Arial"/>
          <w:sz w:val="24"/>
          <w:szCs w:val="24"/>
          <w:lang w:eastAsia="ar-SA"/>
        </w:rPr>
        <w:t>Doug Grace (DG),</w:t>
      </w:r>
      <w:r w:rsidRPr="00865CB6">
        <w:rPr>
          <w:rFonts w:cs="Arial"/>
          <w:sz w:val="24"/>
          <w:szCs w:val="24"/>
          <w:lang w:eastAsia="ar-SA"/>
        </w:rPr>
        <w:t xml:space="preserve"> </w:t>
      </w:r>
      <w:r w:rsidR="00CF0816" w:rsidRPr="00865CB6">
        <w:rPr>
          <w:rFonts w:cs="Arial"/>
          <w:sz w:val="24"/>
          <w:szCs w:val="24"/>
          <w:lang w:eastAsia="ar-SA"/>
        </w:rPr>
        <w:t>Simon Lewis (SL)</w:t>
      </w:r>
      <w:r w:rsidR="00CF0816" w:rsidRPr="00921212">
        <w:rPr>
          <w:rFonts w:cs="Arial"/>
          <w:sz w:val="24"/>
          <w:szCs w:val="24"/>
          <w:lang w:eastAsia="ar-SA"/>
        </w:rPr>
        <w:t xml:space="preserve"> </w:t>
      </w:r>
      <w:r w:rsidR="00CF0816" w:rsidRPr="00865CB6">
        <w:rPr>
          <w:rFonts w:cs="Arial"/>
          <w:sz w:val="24"/>
          <w:szCs w:val="24"/>
          <w:lang w:eastAsia="ar-SA"/>
        </w:rPr>
        <w:t>(via Teams</w:t>
      </w:r>
      <w:r w:rsidR="00CF0816">
        <w:rPr>
          <w:rFonts w:cs="Arial"/>
          <w:sz w:val="24"/>
          <w:szCs w:val="24"/>
          <w:lang w:eastAsia="ar-SA"/>
        </w:rPr>
        <w:t>),</w:t>
      </w:r>
      <w:r w:rsidR="00CF0816" w:rsidRPr="006C2AA7">
        <w:rPr>
          <w:rFonts w:cs="Arial"/>
          <w:sz w:val="24"/>
          <w:szCs w:val="24"/>
          <w:lang w:eastAsia="ar-SA"/>
        </w:rPr>
        <w:t xml:space="preserve"> </w:t>
      </w:r>
      <w:r w:rsidR="00CF0816" w:rsidRPr="00865CB6">
        <w:rPr>
          <w:rFonts w:cs="Arial"/>
          <w:sz w:val="24"/>
          <w:szCs w:val="24"/>
          <w:lang w:eastAsia="ar-SA"/>
        </w:rPr>
        <w:t>Xanthia Ncube (XN)</w:t>
      </w:r>
      <w:r w:rsidR="00CF0816">
        <w:rPr>
          <w:rFonts w:cs="Arial"/>
          <w:sz w:val="24"/>
          <w:szCs w:val="24"/>
          <w:lang w:eastAsia="ar-SA"/>
        </w:rPr>
        <w:t xml:space="preserve">, </w:t>
      </w:r>
      <w:r w:rsidRPr="00865CB6">
        <w:rPr>
          <w:rFonts w:cs="Arial"/>
          <w:sz w:val="24"/>
          <w:szCs w:val="24"/>
          <w:lang w:eastAsia="ar-SA"/>
        </w:rPr>
        <w:t>Connor Salter (CS),</w:t>
      </w:r>
      <w:r w:rsidR="00AF07CD">
        <w:rPr>
          <w:rFonts w:cs="Arial"/>
          <w:sz w:val="24"/>
          <w:szCs w:val="24"/>
          <w:lang w:eastAsia="ar-SA"/>
        </w:rPr>
        <w:t xml:space="preserve"> </w:t>
      </w:r>
      <w:r w:rsidR="00CF0816" w:rsidRPr="00865CB6">
        <w:rPr>
          <w:rFonts w:cs="Arial"/>
          <w:sz w:val="24"/>
          <w:szCs w:val="24"/>
          <w:lang w:eastAsia="ar-SA"/>
        </w:rPr>
        <w:t xml:space="preserve">Rakesh Thakarar (RT) </w:t>
      </w:r>
      <w:r w:rsidR="00CF0816" w:rsidRPr="00865CB6">
        <w:rPr>
          <w:rFonts w:cs="Arial"/>
          <w:i/>
          <w:iCs/>
          <w:sz w:val="24"/>
          <w:szCs w:val="24"/>
          <w:lang w:eastAsia="ar-SA"/>
        </w:rPr>
        <w:t>Vice Chair</w:t>
      </w:r>
      <w:bookmarkStart w:id="0" w:name="_Hlk213923918"/>
      <w:r w:rsidR="00CF0816" w:rsidRPr="00865CB6">
        <w:rPr>
          <w:rFonts w:cs="Arial"/>
          <w:sz w:val="24"/>
          <w:szCs w:val="24"/>
          <w:lang w:eastAsia="ar-SA"/>
        </w:rPr>
        <w:t xml:space="preserve">, </w:t>
      </w:r>
      <w:bookmarkEnd w:id="0"/>
      <w:r w:rsidRPr="00865CB6">
        <w:rPr>
          <w:rFonts w:cs="Arial"/>
          <w:sz w:val="24"/>
          <w:szCs w:val="24"/>
          <w:lang w:eastAsia="ar-SA"/>
        </w:rPr>
        <w:t>Clive Williams (CDW)</w:t>
      </w:r>
      <w:r w:rsidR="00921212" w:rsidRPr="00921212">
        <w:rPr>
          <w:rFonts w:cs="Arial"/>
          <w:sz w:val="24"/>
          <w:szCs w:val="24"/>
          <w:lang w:eastAsia="ar-SA"/>
        </w:rPr>
        <w:t xml:space="preserve"> </w:t>
      </w:r>
      <w:r w:rsidR="00921212" w:rsidRPr="00865CB6">
        <w:rPr>
          <w:rFonts w:cs="Arial"/>
          <w:sz w:val="24"/>
          <w:szCs w:val="24"/>
          <w:lang w:eastAsia="ar-SA"/>
        </w:rPr>
        <w:t>(via Teams</w:t>
      </w:r>
      <w:r w:rsidR="00921212">
        <w:rPr>
          <w:rFonts w:cs="Arial"/>
          <w:sz w:val="24"/>
          <w:szCs w:val="24"/>
          <w:lang w:eastAsia="ar-SA"/>
        </w:rPr>
        <w:t>)</w:t>
      </w:r>
      <w:r w:rsidR="00CF0816">
        <w:rPr>
          <w:rFonts w:cs="Arial"/>
          <w:sz w:val="24"/>
          <w:szCs w:val="24"/>
          <w:lang w:eastAsia="ar-SA"/>
        </w:rPr>
        <w:t>,</w:t>
      </w:r>
      <w:r w:rsidR="00CF0816" w:rsidRPr="00CF0816">
        <w:rPr>
          <w:rFonts w:cs="Arial"/>
          <w:sz w:val="24"/>
          <w:szCs w:val="24"/>
          <w:lang w:eastAsia="ar-SA"/>
        </w:rPr>
        <w:t xml:space="preserve"> </w:t>
      </w:r>
      <w:r w:rsidR="00CF0816" w:rsidRPr="00865CB6">
        <w:rPr>
          <w:rFonts w:cs="Arial"/>
          <w:sz w:val="24"/>
          <w:szCs w:val="24"/>
          <w:lang w:eastAsia="ar-SA"/>
        </w:rPr>
        <w:t>Suzanne Williamson (SW)</w:t>
      </w:r>
      <w:r w:rsidR="00CF0816" w:rsidRPr="00921212">
        <w:rPr>
          <w:rFonts w:cs="Arial"/>
          <w:sz w:val="24"/>
          <w:szCs w:val="24"/>
          <w:lang w:eastAsia="ar-SA"/>
        </w:rPr>
        <w:t xml:space="preserve"> </w:t>
      </w:r>
      <w:r w:rsidR="00CF0816" w:rsidRPr="00865CB6">
        <w:rPr>
          <w:rFonts w:cs="Arial"/>
          <w:sz w:val="24"/>
          <w:szCs w:val="24"/>
          <w:lang w:eastAsia="ar-SA"/>
        </w:rPr>
        <w:t>(via Teams</w:t>
      </w:r>
      <w:r w:rsidR="00CF0816">
        <w:rPr>
          <w:rFonts w:cs="Arial"/>
          <w:sz w:val="24"/>
          <w:szCs w:val="24"/>
          <w:lang w:eastAsia="ar-SA"/>
        </w:rPr>
        <w:t>)</w:t>
      </w:r>
    </w:p>
    <w:p w14:paraId="7E679A26" w14:textId="30404642" w:rsidR="00773B8A" w:rsidRPr="00865CB6" w:rsidRDefault="00773B8A" w:rsidP="00773B8A">
      <w:pPr>
        <w:spacing w:after="0" w:line="240" w:lineRule="auto"/>
        <w:rPr>
          <w:rFonts w:cs="Arial"/>
          <w:sz w:val="24"/>
          <w:szCs w:val="24"/>
          <w:lang w:eastAsia="ar-SA"/>
        </w:rPr>
      </w:pPr>
    </w:p>
    <w:p w14:paraId="67919A57" w14:textId="77777777" w:rsidR="00773B8A" w:rsidRPr="00224510" w:rsidRDefault="00773B8A" w:rsidP="00773B8A">
      <w:pPr>
        <w:spacing w:after="0" w:line="240" w:lineRule="auto"/>
        <w:rPr>
          <w:rFonts w:cs="Arial"/>
          <w:b/>
          <w:sz w:val="24"/>
          <w:szCs w:val="24"/>
        </w:rPr>
      </w:pPr>
    </w:p>
    <w:p w14:paraId="57DAE33B" w14:textId="77777777" w:rsidR="00773B8A" w:rsidRPr="00224510" w:rsidRDefault="00773B8A" w:rsidP="00773B8A">
      <w:pPr>
        <w:spacing w:after="0" w:line="240" w:lineRule="auto"/>
        <w:rPr>
          <w:rFonts w:cs="Arial"/>
          <w:b/>
          <w:sz w:val="24"/>
          <w:szCs w:val="24"/>
        </w:rPr>
      </w:pPr>
      <w:r w:rsidRPr="00224510">
        <w:rPr>
          <w:rFonts w:cs="Arial"/>
          <w:b/>
          <w:sz w:val="24"/>
          <w:szCs w:val="24"/>
        </w:rPr>
        <w:t>Officers:</w:t>
      </w:r>
    </w:p>
    <w:p w14:paraId="034C304B" w14:textId="64E23402" w:rsidR="00773B8A" w:rsidRDefault="00773B8A" w:rsidP="00773B8A">
      <w:pPr>
        <w:spacing w:after="0" w:line="240" w:lineRule="auto"/>
        <w:rPr>
          <w:rFonts w:cs="Arial"/>
          <w:i/>
          <w:sz w:val="24"/>
          <w:szCs w:val="24"/>
        </w:rPr>
      </w:pPr>
      <w:r>
        <w:rPr>
          <w:rFonts w:cs="Arial"/>
          <w:sz w:val="24"/>
          <w:szCs w:val="24"/>
        </w:rPr>
        <w:t>Julian Beaney, Director of Resources</w:t>
      </w:r>
      <w:r w:rsidR="0086282F">
        <w:rPr>
          <w:rFonts w:cs="Arial"/>
          <w:sz w:val="24"/>
          <w:szCs w:val="24"/>
        </w:rPr>
        <w:t xml:space="preserve"> </w:t>
      </w:r>
      <w:r>
        <w:rPr>
          <w:rFonts w:cs="Arial"/>
          <w:sz w:val="24"/>
          <w:szCs w:val="24"/>
        </w:rPr>
        <w:t xml:space="preserve">(DoR), </w:t>
      </w:r>
      <w:r w:rsidR="00921212">
        <w:rPr>
          <w:rFonts w:cs="Arial"/>
          <w:sz w:val="24"/>
          <w:szCs w:val="24"/>
        </w:rPr>
        <w:t xml:space="preserve">Kathy Brookes, Head of Customer Excellence (HoCE),  </w:t>
      </w:r>
      <w:r>
        <w:rPr>
          <w:rFonts w:cs="Arial"/>
          <w:sz w:val="24"/>
          <w:szCs w:val="24"/>
        </w:rPr>
        <w:t>Steve Feast, Chief Executive (CEx)</w:t>
      </w:r>
      <w:r w:rsidRPr="00224510">
        <w:rPr>
          <w:rFonts w:cs="Arial"/>
          <w:sz w:val="24"/>
          <w:szCs w:val="24"/>
        </w:rPr>
        <w:t xml:space="preserve">, </w:t>
      </w:r>
      <w:r w:rsidR="00921212">
        <w:rPr>
          <w:rFonts w:cs="Arial"/>
          <w:sz w:val="24"/>
          <w:szCs w:val="24"/>
        </w:rPr>
        <w:t xml:space="preserve">Katie Macey, Head of Finance (HoF), </w:t>
      </w:r>
      <w:r>
        <w:rPr>
          <w:rFonts w:cs="Arial"/>
          <w:sz w:val="24"/>
          <w:szCs w:val="24"/>
        </w:rPr>
        <w:t>Nicky McKenzie, Director of Customers (DoC), Geoff Stokes, Head of Regulation and Governance (HoRG), Winston Williams, Director of Property and Deputy CEO (DoPDC), Liza Ellis, Board and Committees Officer (BCO)</w:t>
      </w:r>
      <w:r w:rsidR="0086282F">
        <w:rPr>
          <w:rFonts w:cs="Arial"/>
          <w:sz w:val="24"/>
          <w:szCs w:val="24"/>
        </w:rPr>
        <w:t xml:space="preserve"> </w:t>
      </w:r>
      <w:r w:rsidRPr="00224510">
        <w:rPr>
          <w:rFonts w:cs="Arial"/>
          <w:i/>
          <w:sz w:val="24"/>
          <w:szCs w:val="24"/>
        </w:rPr>
        <w:t>minutes</w:t>
      </w:r>
      <w:r w:rsidRPr="008A4B86">
        <w:rPr>
          <w:rFonts w:cs="Arial"/>
          <w:sz w:val="24"/>
          <w:szCs w:val="24"/>
          <w:lang w:eastAsia="ar-SA"/>
        </w:rPr>
        <w:t xml:space="preserve"> </w:t>
      </w:r>
      <w:bookmarkStart w:id="1" w:name="_Hlk221790561"/>
      <w:r w:rsidRPr="00865CB6">
        <w:rPr>
          <w:rFonts w:cs="Arial"/>
          <w:sz w:val="24"/>
          <w:szCs w:val="24"/>
          <w:lang w:eastAsia="ar-SA"/>
        </w:rPr>
        <w:t>(via Teams</w:t>
      </w:r>
      <w:r>
        <w:rPr>
          <w:rFonts w:cs="Arial"/>
          <w:sz w:val="24"/>
          <w:szCs w:val="24"/>
          <w:lang w:eastAsia="ar-SA"/>
        </w:rPr>
        <w:t>)</w:t>
      </w:r>
      <w:r w:rsidR="00F40F73">
        <w:rPr>
          <w:rFonts w:cs="Arial"/>
          <w:sz w:val="24"/>
          <w:szCs w:val="24"/>
          <w:lang w:eastAsia="ar-SA"/>
        </w:rPr>
        <w:t xml:space="preserve"> </w:t>
      </w:r>
      <w:bookmarkEnd w:id="1"/>
    </w:p>
    <w:p w14:paraId="1CE56944" w14:textId="77777777" w:rsidR="00773B8A" w:rsidRDefault="00773B8A" w:rsidP="00773B8A">
      <w:pPr>
        <w:spacing w:after="0" w:line="240" w:lineRule="auto"/>
        <w:rPr>
          <w:rFonts w:cs="Arial"/>
          <w:i/>
          <w:sz w:val="24"/>
          <w:szCs w:val="24"/>
        </w:rPr>
      </w:pPr>
    </w:p>
    <w:p w14:paraId="28041C24" w14:textId="77777777" w:rsidR="00773B8A" w:rsidRDefault="00773B8A" w:rsidP="00773B8A">
      <w:pPr>
        <w:spacing w:after="0" w:line="240" w:lineRule="auto"/>
        <w:rPr>
          <w:rFonts w:cs="Arial"/>
          <w:b/>
          <w:sz w:val="24"/>
          <w:szCs w:val="24"/>
        </w:rPr>
      </w:pPr>
      <w:r w:rsidRPr="00224510">
        <w:rPr>
          <w:rFonts w:cs="Arial"/>
          <w:b/>
          <w:sz w:val="24"/>
          <w:szCs w:val="24"/>
        </w:rPr>
        <w:t>Apologies:</w:t>
      </w:r>
    </w:p>
    <w:p w14:paraId="4CE0AA42" w14:textId="46FD0E0F" w:rsidR="00AF07CD" w:rsidRDefault="00AF07CD" w:rsidP="00773B8A">
      <w:pPr>
        <w:spacing w:after="0" w:line="240" w:lineRule="auto"/>
        <w:rPr>
          <w:rFonts w:cs="Arial"/>
          <w:sz w:val="24"/>
          <w:szCs w:val="24"/>
          <w:lang w:eastAsia="ar-SA"/>
        </w:rPr>
      </w:pPr>
      <w:r w:rsidRPr="00865CB6">
        <w:rPr>
          <w:rFonts w:cs="Arial"/>
          <w:sz w:val="24"/>
          <w:szCs w:val="24"/>
          <w:lang w:eastAsia="ar-SA"/>
        </w:rPr>
        <w:t>Jon Sawyer (JS</w:t>
      </w:r>
      <w:r>
        <w:rPr>
          <w:rFonts w:cs="Arial"/>
          <w:sz w:val="24"/>
          <w:szCs w:val="24"/>
          <w:lang w:eastAsia="ar-SA"/>
        </w:rPr>
        <w:t>)</w:t>
      </w:r>
      <w:r w:rsidR="007046BC">
        <w:rPr>
          <w:rFonts w:cs="Arial"/>
          <w:sz w:val="24"/>
          <w:szCs w:val="24"/>
          <w:lang w:eastAsia="ar-SA"/>
        </w:rPr>
        <w:t xml:space="preserve"> </w:t>
      </w:r>
    </w:p>
    <w:p w14:paraId="3069AEE2" w14:textId="77777777" w:rsidR="007046BC" w:rsidRDefault="007046BC" w:rsidP="00773B8A">
      <w:pPr>
        <w:spacing w:after="0" w:line="240" w:lineRule="auto"/>
        <w:rPr>
          <w:rFonts w:cs="Arial"/>
          <w:b/>
          <w:sz w:val="24"/>
          <w:szCs w:val="24"/>
        </w:rPr>
      </w:pPr>
    </w:p>
    <w:p w14:paraId="4E07BEE8" w14:textId="77777777" w:rsidR="00777FF0" w:rsidRPr="00695142" w:rsidRDefault="00777FF0" w:rsidP="00777FF0">
      <w:pPr>
        <w:spacing w:after="0"/>
        <w:rPr>
          <w:rFonts w:ascii="Arial" w:hAnsi="Arial" w:cs="Arial"/>
          <w:b/>
          <w:sz w:val="23"/>
          <w:szCs w:val="23"/>
        </w:rPr>
      </w:pP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3"/>
        <w:gridCol w:w="11"/>
        <w:gridCol w:w="7201"/>
        <w:gridCol w:w="13"/>
        <w:gridCol w:w="13"/>
        <w:gridCol w:w="24"/>
        <w:gridCol w:w="1004"/>
      </w:tblGrid>
      <w:tr w:rsidR="00B70CE9" w:rsidRPr="00241AF6" w14:paraId="4B2EBF4B" w14:textId="77777777" w:rsidTr="00584CFB">
        <w:trPr>
          <w:trHeight w:val="415"/>
        </w:trPr>
        <w:tc>
          <w:tcPr>
            <w:tcW w:w="9243" w:type="dxa"/>
            <w:gridSpan w:val="8"/>
            <w:shd w:val="clear" w:color="auto" w:fill="BFBFBF"/>
          </w:tcPr>
          <w:p w14:paraId="1A33AADE" w14:textId="77777777" w:rsidR="00B70CE9" w:rsidRPr="0081520D" w:rsidRDefault="00EC6EF3" w:rsidP="00584CFB">
            <w:pPr>
              <w:rPr>
                <w:b/>
                <w:sz w:val="24"/>
                <w:szCs w:val="24"/>
              </w:rPr>
            </w:pPr>
            <w:r w:rsidRPr="0081520D">
              <w:rPr>
                <w:b/>
                <w:sz w:val="24"/>
                <w:szCs w:val="24"/>
              </w:rPr>
              <w:t>Minutes and Actions</w:t>
            </w:r>
          </w:p>
        </w:tc>
      </w:tr>
      <w:tr w:rsidR="00584CFB" w:rsidRPr="00241AF6" w14:paraId="13C8DA75" w14:textId="55702447" w:rsidTr="00584CFB">
        <w:trPr>
          <w:trHeight w:val="415"/>
        </w:trPr>
        <w:tc>
          <w:tcPr>
            <w:tcW w:w="8202" w:type="dxa"/>
            <w:gridSpan w:val="5"/>
            <w:shd w:val="clear" w:color="auto" w:fill="BFBFBF"/>
          </w:tcPr>
          <w:p w14:paraId="5B6D865F" w14:textId="13447D0B" w:rsidR="00584CFB" w:rsidRPr="0081520D" w:rsidRDefault="00584CFB" w:rsidP="00584CFB">
            <w:pPr>
              <w:rPr>
                <w:b/>
                <w:sz w:val="24"/>
                <w:szCs w:val="24"/>
              </w:rPr>
            </w:pPr>
            <w:r w:rsidRPr="0081520D">
              <w:rPr>
                <w:b/>
                <w:sz w:val="24"/>
                <w:szCs w:val="24"/>
              </w:rPr>
              <w:t>Meeting Commenced:</w:t>
            </w:r>
            <w:r>
              <w:rPr>
                <w:b/>
                <w:sz w:val="24"/>
                <w:szCs w:val="24"/>
              </w:rPr>
              <w:t xml:space="preserve"> </w:t>
            </w:r>
            <w:r w:rsidR="00075B1A">
              <w:rPr>
                <w:b/>
                <w:sz w:val="24"/>
                <w:szCs w:val="24"/>
              </w:rPr>
              <w:t>18:00</w:t>
            </w:r>
          </w:p>
        </w:tc>
        <w:tc>
          <w:tcPr>
            <w:tcW w:w="1041" w:type="dxa"/>
            <w:gridSpan w:val="3"/>
            <w:shd w:val="clear" w:color="auto" w:fill="BFBFBF"/>
          </w:tcPr>
          <w:p w14:paraId="4A2C9740" w14:textId="70BF2CA6" w:rsidR="00584CFB" w:rsidRPr="0081520D" w:rsidRDefault="00584CFB" w:rsidP="00584CFB">
            <w:pPr>
              <w:rPr>
                <w:b/>
                <w:sz w:val="24"/>
                <w:szCs w:val="24"/>
              </w:rPr>
            </w:pPr>
            <w:r>
              <w:rPr>
                <w:b/>
                <w:sz w:val="24"/>
                <w:szCs w:val="24"/>
              </w:rPr>
              <w:t>Action</w:t>
            </w:r>
          </w:p>
        </w:tc>
      </w:tr>
      <w:tr w:rsidR="00BB10F5" w:rsidRPr="00241AF6" w14:paraId="37EC0C5D" w14:textId="77777777" w:rsidTr="00584CFB">
        <w:trPr>
          <w:trHeight w:val="415"/>
        </w:trPr>
        <w:tc>
          <w:tcPr>
            <w:tcW w:w="9243" w:type="dxa"/>
            <w:gridSpan w:val="8"/>
            <w:shd w:val="clear" w:color="auto" w:fill="D9D9D9"/>
          </w:tcPr>
          <w:p w14:paraId="5B71CDAB" w14:textId="311F7BAF" w:rsidR="00453286" w:rsidRPr="0081520D" w:rsidRDefault="00BB10F5" w:rsidP="00584CFB">
            <w:pPr>
              <w:rPr>
                <w:b/>
                <w:sz w:val="24"/>
                <w:szCs w:val="24"/>
              </w:rPr>
            </w:pPr>
            <w:r w:rsidRPr="0081520D">
              <w:rPr>
                <w:b/>
                <w:sz w:val="24"/>
                <w:szCs w:val="24"/>
              </w:rPr>
              <w:t xml:space="preserve">Item 1: </w:t>
            </w:r>
            <w:r w:rsidR="00192783" w:rsidRPr="0081520D">
              <w:rPr>
                <w:b/>
                <w:sz w:val="24"/>
                <w:szCs w:val="24"/>
              </w:rPr>
              <w:t xml:space="preserve">    </w:t>
            </w:r>
            <w:r w:rsidR="00E85B9E" w:rsidRPr="0081520D">
              <w:rPr>
                <w:b/>
                <w:sz w:val="24"/>
                <w:szCs w:val="24"/>
              </w:rPr>
              <w:t>Welcome and apologies</w:t>
            </w:r>
          </w:p>
        </w:tc>
      </w:tr>
      <w:tr w:rsidR="00F03F2A" w:rsidRPr="000644AB" w14:paraId="6773D59F" w14:textId="77777777" w:rsidTr="00584CFB">
        <w:tc>
          <w:tcPr>
            <w:tcW w:w="988" w:type="dxa"/>
            <w:gridSpan w:val="3"/>
          </w:tcPr>
          <w:p w14:paraId="75A30D32" w14:textId="58203FC4" w:rsidR="00F03F2A" w:rsidRPr="000644AB" w:rsidRDefault="00F03F2A" w:rsidP="00584CFB">
            <w:pPr>
              <w:pStyle w:val="NoSpacing"/>
            </w:pPr>
            <w:r w:rsidRPr="000644AB">
              <w:t>1</w:t>
            </w:r>
          </w:p>
        </w:tc>
        <w:tc>
          <w:tcPr>
            <w:tcW w:w="7227" w:type="dxa"/>
            <w:gridSpan w:val="3"/>
          </w:tcPr>
          <w:p w14:paraId="43B2A44E" w14:textId="77777777" w:rsidR="00E56594" w:rsidRPr="000644AB" w:rsidRDefault="00E56594" w:rsidP="00584CFB">
            <w:pPr>
              <w:pStyle w:val="NoSpacing"/>
            </w:pPr>
            <w:r w:rsidRPr="000644AB">
              <w:t xml:space="preserve">The Chair welcomed all to the meeting. Apologies were noted as above. </w:t>
            </w:r>
          </w:p>
          <w:p w14:paraId="0B3E26F6" w14:textId="77777777" w:rsidR="00F03F2A" w:rsidRPr="000644AB" w:rsidRDefault="00F03F2A" w:rsidP="00584CFB">
            <w:pPr>
              <w:pStyle w:val="NoSpacing"/>
            </w:pPr>
          </w:p>
        </w:tc>
        <w:tc>
          <w:tcPr>
            <w:tcW w:w="1028" w:type="dxa"/>
            <w:gridSpan w:val="2"/>
          </w:tcPr>
          <w:p w14:paraId="6A695F24" w14:textId="77777777" w:rsidR="00F03F2A" w:rsidRPr="000644AB" w:rsidRDefault="00F03F2A" w:rsidP="00584CFB">
            <w:pPr>
              <w:pStyle w:val="NoSpacing"/>
            </w:pPr>
          </w:p>
        </w:tc>
      </w:tr>
      <w:tr w:rsidR="00F03F2A" w:rsidRPr="00241AF6" w14:paraId="158E16A2" w14:textId="77777777" w:rsidTr="00584CFB">
        <w:tc>
          <w:tcPr>
            <w:tcW w:w="9243" w:type="dxa"/>
            <w:gridSpan w:val="8"/>
            <w:shd w:val="clear" w:color="auto" w:fill="D9D9D9"/>
          </w:tcPr>
          <w:p w14:paraId="61D72407" w14:textId="2B8CDD66" w:rsidR="00F03F2A" w:rsidRPr="0081520D" w:rsidRDefault="00F03F2A" w:rsidP="00584CFB">
            <w:pPr>
              <w:rPr>
                <w:b/>
                <w:sz w:val="24"/>
                <w:szCs w:val="24"/>
              </w:rPr>
            </w:pPr>
            <w:r w:rsidRPr="0081520D">
              <w:rPr>
                <w:b/>
                <w:sz w:val="24"/>
                <w:szCs w:val="24"/>
              </w:rPr>
              <w:t>Item 2:</w:t>
            </w:r>
            <w:r w:rsidR="00192783" w:rsidRPr="0081520D">
              <w:rPr>
                <w:b/>
                <w:sz w:val="24"/>
                <w:szCs w:val="24"/>
              </w:rPr>
              <w:t xml:space="preserve">    </w:t>
            </w:r>
            <w:r w:rsidRPr="0081520D">
              <w:rPr>
                <w:b/>
                <w:sz w:val="24"/>
                <w:szCs w:val="24"/>
              </w:rPr>
              <w:t>Declaration of interests</w:t>
            </w:r>
          </w:p>
        </w:tc>
      </w:tr>
      <w:tr w:rsidR="00F03F2A" w:rsidRPr="000644AB" w14:paraId="491850D1" w14:textId="77777777" w:rsidTr="00584CFB">
        <w:tc>
          <w:tcPr>
            <w:tcW w:w="988" w:type="dxa"/>
            <w:gridSpan w:val="3"/>
          </w:tcPr>
          <w:p w14:paraId="07070285" w14:textId="1F863DDD" w:rsidR="00F03F2A" w:rsidRPr="000644AB" w:rsidRDefault="00F03F2A" w:rsidP="00584CFB">
            <w:pPr>
              <w:pStyle w:val="NoSpacing"/>
            </w:pPr>
            <w:r w:rsidRPr="000644AB">
              <w:t>2</w:t>
            </w:r>
          </w:p>
        </w:tc>
        <w:tc>
          <w:tcPr>
            <w:tcW w:w="7227" w:type="dxa"/>
            <w:gridSpan w:val="3"/>
          </w:tcPr>
          <w:p w14:paraId="1188A119" w14:textId="77777777" w:rsidR="00F03F2A" w:rsidRPr="000644AB" w:rsidRDefault="00E56594" w:rsidP="00584CFB">
            <w:pPr>
              <w:pStyle w:val="NoSpacing"/>
            </w:pPr>
            <w:r w:rsidRPr="000644AB">
              <w:t>None</w:t>
            </w:r>
          </w:p>
          <w:p w14:paraId="32F86E9A" w14:textId="5665916B" w:rsidR="00584CFB" w:rsidRPr="000644AB" w:rsidRDefault="00584CFB" w:rsidP="00584CFB">
            <w:pPr>
              <w:pStyle w:val="NoSpacing"/>
            </w:pPr>
          </w:p>
        </w:tc>
        <w:tc>
          <w:tcPr>
            <w:tcW w:w="1028" w:type="dxa"/>
            <w:gridSpan w:val="2"/>
          </w:tcPr>
          <w:p w14:paraId="7FB7CBF4" w14:textId="77777777" w:rsidR="00F03F2A" w:rsidRPr="000644AB" w:rsidRDefault="00F03F2A" w:rsidP="00584CFB">
            <w:pPr>
              <w:pStyle w:val="NoSpacing"/>
            </w:pPr>
          </w:p>
        </w:tc>
      </w:tr>
      <w:tr w:rsidR="00F03F2A" w:rsidRPr="00241AF6" w14:paraId="1099160D" w14:textId="77777777" w:rsidTr="00584CFB">
        <w:tc>
          <w:tcPr>
            <w:tcW w:w="9243" w:type="dxa"/>
            <w:gridSpan w:val="8"/>
            <w:shd w:val="clear" w:color="auto" w:fill="D9D9D9"/>
          </w:tcPr>
          <w:p w14:paraId="44E14176" w14:textId="56165A6F" w:rsidR="00F03F2A" w:rsidRPr="0081520D" w:rsidRDefault="00F03F2A" w:rsidP="00584CFB">
            <w:pPr>
              <w:rPr>
                <w:b/>
                <w:sz w:val="24"/>
                <w:szCs w:val="24"/>
              </w:rPr>
            </w:pPr>
            <w:r w:rsidRPr="0081520D">
              <w:rPr>
                <w:b/>
                <w:sz w:val="24"/>
                <w:szCs w:val="24"/>
              </w:rPr>
              <w:t>Item 3:</w:t>
            </w:r>
            <w:r w:rsidR="00192783" w:rsidRPr="0081520D">
              <w:rPr>
                <w:b/>
                <w:sz w:val="24"/>
                <w:szCs w:val="24"/>
              </w:rPr>
              <w:t xml:space="preserve">    </w:t>
            </w:r>
            <w:r w:rsidRPr="0081520D">
              <w:rPr>
                <w:b/>
                <w:sz w:val="24"/>
                <w:szCs w:val="24"/>
              </w:rPr>
              <w:t>Minutes of last meeting</w:t>
            </w:r>
          </w:p>
        </w:tc>
      </w:tr>
      <w:tr w:rsidR="00F27878" w:rsidRPr="0086282F" w14:paraId="6B581658" w14:textId="77777777" w:rsidTr="00584CFB">
        <w:tc>
          <w:tcPr>
            <w:tcW w:w="988" w:type="dxa"/>
            <w:gridSpan w:val="3"/>
          </w:tcPr>
          <w:p w14:paraId="5BEF9D74" w14:textId="6B2A7208" w:rsidR="00F27878" w:rsidRPr="0086282F" w:rsidRDefault="00584CFB" w:rsidP="00584CFB">
            <w:pPr>
              <w:pStyle w:val="NoSpacing"/>
              <w:rPr>
                <w:color w:val="000000"/>
              </w:rPr>
            </w:pPr>
            <w:r w:rsidRPr="0086282F">
              <w:rPr>
                <w:color w:val="000000"/>
              </w:rPr>
              <w:lastRenderedPageBreak/>
              <w:t>3</w:t>
            </w:r>
          </w:p>
        </w:tc>
        <w:tc>
          <w:tcPr>
            <w:tcW w:w="7227" w:type="dxa"/>
            <w:gridSpan w:val="3"/>
          </w:tcPr>
          <w:p w14:paraId="451E79A3" w14:textId="77777777" w:rsidR="007D64EE" w:rsidRPr="0086282F" w:rsidRDefault="00E56594" w:rsidP="007D64EE">
            <w:pPr>
              <w:pStyle w:val="NoSpacing"/>
            </w:pPr>
            <w:r w:rsidRPr="0086282F">
              <w:t>Minutes of the Board meeting held on</w:t>
            </w:r>
            <w:r w:rsidR="007D64EE" w:rsidRPr="0086282F">
              <w:t xml:space="preserve"> </w:t>
            </w:r>
          </w:p>
          <w:p w14:paraId="2E0C3CB1" w14:textId="158908AC" w:rsidR="007D64EE" w:rsidRPr="0086282F" w:rsidRDefault="007D64EE" w:rsidP="007D64EE">
            <w:pPr>
              <w:pStyle w:val="NoSpacing"/>
            </w:pPr>
            <w:r w:rsidRPr="0086282F">
              <w:t xml:space="preserve">12.11.2025 </w:t>
            </w:r>
          </w:p>
          <w:p w14:paraId="26811D75" w14:textId="2C50D215" w:rsidR="007D64EE" w:rsidRPr="0086282F" w:rsidRDefault="007D64EE" w:rsidP="007D64EE">
            <w:pPr>
              <w:pStyle w:val="NoSpacing"/>
            </w:pPr>
            <w:r w:rsidRPr="0086282F">
              <w:t xml:space="preserve">10.12.2025 (confidential) </w:t>
            </w:r>
          </w:p>
          <w:p w14:paraId="6BE6EFC3" w14:textId="77777777" w:rsidR="007D64EE" w:rsidRPr="0086282F" w:rsidRDefault="007D64EE" w:rsidP="007D64EE">
            <w:pPr>
              <w:pStyle w:val="NoSpacing"/>
            </w:pPr>
            <w:r w:rsidRPr="0086282F">
              <w:t xml:space="preserve">Awayday notes 5.11.2025 </w:t>
            </w:r>
            <w:r w:rsidR="00E56594" w:rsidRPr="0086282F">
              <w:t xml:space="preserve">  </w:t>
            </w:r>
          </w:p>
          <w:p w14:paraId="7FD0E09C" w14:textId="237D4C28" w:rsidR="007046BC" w:rsidRPr="0086282F" w:rsidRDefault="007046BC" w:rsidP="007D64EE">
            <w:pPr>
              <w:pStyle w:val="NoSpacing"/>
            </w:pPr>
          </w:p>
          <w:p w14:paraId="2C8CF371" w14:textId="2D0366C7" w:rsidR="00F27878" w:rsidRPr="0086282F" w:rsidRDefault="00F642CE" w:rsidP="007D64EE">
            <w:pPr>
              <w:pStyle w:val="NoSpacing"/>
            </w:pPr>
            <w:r w:rsidRPr="0086282F">
              <w:t xml:space="preserve">The minutes </w:t>
            </w:r>
            <w:r w:rsidR="00E56594" w:rsidRPr="0086282F">
              <w:t>were approved by the Board.</w:t>
            </w:r>
          </w:p>
          <w:p w14:paraId="0F2F213E" w14:textId="77777777" w:rsidR="00E0175E" w:rsidRPr="0086282F" w:rsidRDefault="00E0175E" w:rsidP="007D64EE">
            <w:pPr>
              <w:pStyle w:val="NoSpacing"/>
            </w:pPr>
          </w:p>
          <w:p w14:paraId="4E00156F" w14:textId="330251BB" w:rsidR="00E0175E" w:rsidRDefault="00E0175E" w:rsidP="00E0175E">
            <w:pPr>
              <w:pStyle w:val="NoSpacing"/>
            </w:pPr>
            <w:r w:rsidRPr="00E0175E">
              <w:t>A Board Member r</w:t>
            </w:r>
            <w:r>
              <w:t>eferenced a</w:t>
            </w:r>
            <w:r w:rsidRPr="00E0175E">
              <w:t xml:space="preserve"> concern that</w:t>
            </w:r>
            <w:r>
              <w:t xml:space="preserve"> they had raised on Convene</w:t>
            </w:r>
            <w:r w:rsidR="00D87B9D">
              <w:t xml:space="preserve"> </w:t>
            </w:r>
            <w:proofErr w:type="gramStart"/>
            <w:r w:rsidR="00D87B9D">
              <w:t xml:space="preserve">that </w:t>
            </w:r>
            <w:r w:rsidRPr="00E0175E">
              <w:t>,</w:t>
            </w:r>
            <w:proofErr w:type="gramEnd"/>
            <w:r w:rsidRPr="00E0175E">
              <w:t xml:space="preserve"> despite previous assurances, the Board has still not received information on compliance with the fire door inspection programme or details of any resulting actions. Given that these inspections have been mandated for over three years, the absence of this data was noted as significant. The Member requested that the information be provided urgently and incorporated into all future monthly reporting.</w:t>
            </w:r>
          </w:p>
          <w:p w14:paraId="47C22D33" w14:textId="77777777" w:rsidR="00F2136D" w:rsidRPr="00E0175E" w:rsidRDefault="00F2136D" w:rsidP="00E0175E">
            <w:pPr>
              <w:pStyle w:val="NoSpacing"/>
            </w:pPr>
          </w:p>
          <w:p w14:paraId="7443263A" w14:textId="716B5B79" w:rsidR="00E0175E" w:rsidRPr="00E0175E" w:rsidRDefault="00E0175E" w:rsidP="00E0175E">
            <w:pPr>
              <w:pStyle w:val="NoSpacing"/>
            </w:pPr>
            <w:r w:rsidRPr="00E0175E">
              <w:t>The D</w:t>
            </w:r>
            <w:r w:rsidR="004B2054">
              <w:t>oPDC</w:t>
            </w:r>
            <w:r w:rsidRPr="00E0175E">
              <w:t xml:space="preserve"> advised that fire door inspection data was not included in the initial phase of the C365 project but is currently being developed, with reporting expected by the end of March following validation. Inspections are undertaken by external specialists for all buildings over 11 metres. Current reporting formats are not easily transferable, and the new Compliance Manager (Fire) is working with the contractor to improve data usability. In the interim, the information will be incorporated into the compliance scorecard.</w:t>
            </w:r>
          </w:p>
          <w:p w14:paraId="127855D7" w14:textId="677C7477" w:rsidR="00E56594" w:rsidRPr="0086282F" w:rsidRDefault="00E56594" w:rsidP="00F642CE">
            <w:pPr>
              <w:pStyle w:val="NoSpacing"/>
            </w:pPr>
          </w:p>
        </w:tc>
        <w:tc>
          <w:tcPr>
            <w:tcW w:w="1028" w:type="dxa"/>
            <w:gridSpan w:val="2"/>
          </w:tcPr>
          <w:p w14:paraId="2D81E5C2" w14:textId="77777777" w:rsidR="00F27878" w:rsidRPr="0086282F" w:rsidRDefault="00F27878" w:rsidP="00584CFB">
            <w:pPr>
              <w:pStyle w:val="NoSpacing"/>
            </w:pPr>
          </w:p>
        </w:tc>
      </w:tr>
      <w:tr w:rsidR="00F03F2A" w:rsidRPr="00241AF6" w14:paraId="1082E6B8" w14:textId="77777777" w:rsidTr="00584CFB">
        <w:trPr>
          <w:trHeight w:val="291"/>
        </w:trPr>
        <w:tc>
          <w:tcPr>
            <w:tcW w:w="9243" w:type="dxa"/>
            <w:gridSpan w:val="8"/>
            <w:shd w:val="clear" w:color="auto" w:fill="D9D9D9"/>
          </w:tcPr>
          <w:p w14:paraId="2D5E2A20" w14:textId="32983FFF" w:rsidR="00F03F2A" w:rsidRPr="0081520D" w:rsidRDefault="00F03F2A" w:rsidP="00584CFB">
            <w:pPr>
              <w:rPr>
                <w:b/>
                <w:sz w:val="24"/>
                <w:szCs w:val="24"/>
              </w:rPr>
            </w:pPr>
            <w:r w:rsidRPr="0081520D">
              <w:rPr>
                <w:b/>
                <w:sz w:val="24"/>
                <w:szCs w:val="24"/>
              </w:rPr>
              <w:t>Item 4:</w:t>
            </w:r>
            <w:r w:rsidR="00192783" w:rsidRPr="0081520D">
              <w:rPr>
                <w:b/>
                <w:sz w:val="24"/>
                <w:szCs w:val="24"/>
              </w:rPr>
              <w:t xml:space="preserve">    </w:t>
            </w:r>
            <w:r w:rsidRPr="0081520D">
              <w:rPr>
                <w:b/>
                <w:sz w:val="24"/>
                <w:szCs w:val="24"/>
              </w:rPr>
              <w:t>Matters arising</w:t>
            </w:r>
          </w:p>
        </w:tc>
      </w:tr>
      <w:tr w:rsidR="00067CE7" w:rsidRPr="0086282F" w14:paraId="566BBE29" w14:textId="77777777" w:rsidTr="00584CFB">
        <w:trPr>
          <w:trHeight w:val="291"/>
        </w:trPr>
        <w:tc>
          <w:tcPr>
            <w:tcW w:w="988" w:type="dxa"/>
            <w:gridSpan w:val="3"/>
          </w:tcPr>
          <w:p w14:paraId="08D9D333" w14:textId="23D7B507" w:rsidR="00067CE7" w:rsidRPr="0086282F" w:rsidRDefault="00067CE7" w:rsidP="00584CFB">
            <w:pPr>
              <w:pStyle w:val="NoSpacing"/>
              <w:rPr>
                <w:color w:val="000000"/>
              </w:rPr>
            </w:pPr>
            <w:r w:rsidRPr="0086282F">
              <w:rPr>
                <w:color w:val="000000"/>
              </w:rPr>
              <w:t>4</w:t>
            </w:r>
          </w:p>
        </w:tc>
        <w:tc>
          <w:tcPr>
            <w:tcW w:w="7227" w:type="dxa"/>
            <w:gridSpan w:val="3"/>
          </w:tcPr>
          <w:p w14:paraId="19675694" w14:textId="32A4239E" w:rsidR="007D64EE" w:rsidRPr="0086282F" w:rsidRDefault="007D64EE" w:rsidP="007D64EE">
            <w:pPr>
              <w:pStyle w:val="NoSpacing"/>
            </w:pPr>
            <w:r w:rsidRPr="0086282F">
              <w:rPr>
                <w:rFonts w:cs="Calibri"/>
              </w:rPr>
              <w:t>The Chair provided an update on actions arising from the meeting held on</w:t>
            </w:r>
            <w:r w:rsidR="00F642CE" w:rsidRPr="0086282F">
              <w:rPr>
                <w:rFonts w:cs="Calibri"/>
              </w:rPr>
              <w:t xml:space="preserve"> </w:t>
            </w:r>
            <w:r w:rsidRPr="0086282F">
              <w:t xml:space="preserve">12.11.2025 </w:t>
            </w:r>
          </w:p>
          <w:p w14:paraId="4442557B" w14:textId="2C713A24" w:rsidR="007D64EE" w:rsidRPr="0086282F" w:rsidRDefault="007D64EE" w:rsidP="00584CFB">
            <w:pPr>
              <w:pStyle w:val="NoSpacing"/>
            </w:pPr>
          </w:p>
          <w:p w14:paraId="014FCC87" w14:textId="2883BA1D" w:rsidR="0072050B" w:rsidRDefault="00E56594" w:rsidP="0072050B">
            <w:pPr>
              <w:pStyle w:val="NoSpacing"/>
            </w:pPr>
            <w:r w:rsidRPr="0086282F">
              <w:rPr>
                <w:b/>
                <w:bCs/>
              </w:rPr>
              <w:t>Action</w:t>
            </w:r>
            <w:r w:rsidR="0072050B" w:rsidRPr="0086282F">
              <w:rPr>
                <w:b/>
                <w:bCs/>
              </w:rPr>
              <w:t xml:space="preserve"> </w:t>
            </w:r>
            <w:r w:rsidRPr="0086282F">
              <w:rPr>
                <w:b/>
                <w:bCs/>
              </w:rPr>
              <w:t>1:</w:t>
            </w:r>
            <w:r w:rsidR="0072050B" w:rsidRPr="0086282F">
              <w:t xml:space="preserve"> The Chair proposed a modest increase in annual remuneration of £1,000, citing the potential need for additional meetings and the importance of initiating the Board appraisal cycle to demonstrate accountability for the remuneration. It was noted that written confirmation has been received from W</w:t>
            </w:r>
            <w:r w:rsidR="00DB5833" w:rsidRPr="0086282F">
              <w:t xml:space="preserve">est </w:t>
            </w:r>
            <w:r w:rsidR="0072050B" w:rsidRPr="0086282F">
              <w:t>N</w:t>
            </w:r>
            <w:r w:rsidR="00DB5833" w:rsidRPr="0086282F">
              <w:t xml:space="preserve">orthamptonshire </w:t>
            </w:r>
            <w:r w:rsidR="0072050B" w:rsidRPr="0086282F">
              <w:t>C</w:t>
            </w:r>
            <w:r w:rsidR="00DB5833" w:rsidRPr="0086282F">
              <w:t>ouncil (WNC)</w:t>
            </w:r>
            <w:r w:rsidR="0072050B" w:rsidRPr="0086282F">
              <w:t xml:space="preserve"> to the NPH Board Chair acknowledging the necessity of increased remuneration to attract and retain high-calibre Board members during the transition period.</w:t>
            </w:r>
          </w:p>
          <w:p w14:paraId="293F080A" w14:textId="77777777" w:rsidR="00D87B9D" w:rsidRPr="0086282F" w:rsidRDefault="00D87B9D" w:rsidP="0072050B">
            <w:pPr>
              <w:pStyle w:val="NoSpacing"/>
            </w:pPr>
          </w:p>
          <w:p w14:paraId="6493F366" w14:textId="6D66007A" w:rsidR="00E56594" w:rsidRPr="0086282F" w:rsidRDefault="0072050B" w:rsidP="0072050B">
            <w:pPr>
              <w:pStyle w:val="NoSpacing"/>
            </w:pPr>
            <w:r w:rsidRPr="0086282F">
              <w:t>Action: Board remuneration policy to be amended to reflect the increase in annual remuneration of £1,000 annually for all Board Members from 1 January 2026 to reflect the additional workload for Board members resulting from the transition of services to West Northamptonshire Council.</w:t>
            </w:r>
          </w:p>
          <w:p w14:paraId="3B8A28CE" w14:textId="77777777" w:rsidR="00D87B9D" w:rsidRDefault="00D87B9D" w:rsidP="00584CFB">
            <w:pPr>
              <w:pStyle w:val="NoSpacing"/>
              <w:rPr>
                <w:b/>
                <w:bCs/>
              </w:rPr>
            </w:pPr>
          </w:p>
          <w:p w14:paraId="44FA4F73" w14:textId="769B3697" w:rsidR="00E56594" w:rsidRPr="0086282F" w:rsidRDefault="0072050B" w:rsidP="00584CFB">
            <w:pPr>
              <w:pStyle w:val="NoSpacing"/>
            </w:pPr>
            <w:r w:rsidRPr="0086282F">
              <w:rPr>
                <w:b/>
                <w:bCs/>
              </w:rPr>
              <w:t>In Progress Carried Forward -</w:t>
            </w:r>
            <w:r w:rsidRPr="0086282F">
              <w:t xml:space="preserve"> HoRG advised - A first draft of the policy has been created.</w:t>
            </w:r>
          </w:p>
          <w:p w14:paraId="5F03D6E4" w14:textId="77777777" w:rsidR="0072050B" w:rsidRPr="0086282F" w:rsidRDefault="0072050B" w:rsidP="00584CFB">
            <w:pPr>
              <w:pStyle w:val="NoSpacing"/>
            </w:pPr>
          </w:p>
          <w:p w14:paraId="2509B83C" w14:textId="3DBDC4B3" w:rsidR="0072050B" w:rsidRPr="0086282F" w:rsidRDefault="00E56594" w:rsidP="0072050B">
            <w:pPr>
              <w:pStyle w:val="NoSpacing"/>
            </w:pPr>
            <w:r w:rsidRPr="0086282F">
              <w:rPr>
                <w:b/>
                <w:bCs/>
              </w:rPr>
              <w:t>Action 2:</w:t>
            </w:r>
            <w:r w:rsidR="0072050B" w:rsidRPr="0086282F">
              <w:t xml:space="preserve"> The variance on the New Development’s capital line is shown as £215.6k on Departmental Analysis Appendix A, while Appendix B indicates a variance of £425k.</w:t>
            </w:r>
          </w:p>
          <w:p w14:paraId="0E43B600" w14:textId="38B6DC64" w:rsidR="0072050B" w:rsidRDefault="00D87B9D" w:rsidP="00D87B9D">
            <w:pPr>
              <w:pStyle w:val="NoSpacing"/>
            </w:pPr>
            <w:r>
              <w:lastRenderedPageBreak/>
              <w:t>A</w:t>
            </w:r>
            <w:r w:rsidR="0072050B" w:rsidRPr="0086282F">
              <w:t xml:space="preserve"> Board member also raised a query regarding the cash flow figures presented on Appendix C. It was noted that, based on standard practice, the closing balance at the end of Period 6—recorded as £4.3 million—should carry forward as the opening balance for Period 7.</w:t>
            </w:r>
            <w:r>
              <w:t xml:space="preserve"> </w:t>
            </w:r>
            <w:r w:rsidR="0072050B" w:rsidRPr="0086282F">
              <w:t>However, this continuity does not appear in the current spreadsheet, resulting in a discrepancy of approximately £1.3 million from October 2025 onwards.</w:t>
            </w:r>
          </w:p>
          <w:p w14:paraId="232D9C22" w14:textId="77777777" w:rsidR="00D87B9D" w:rsidRPr="0086282F" w:rsidRDefault="00D87B9D" w:rsidP="00D87B9D">
            <w:pPr>
              <w:pStyle w:val="NoSpacing"/>
            </w:pPr>
          </w:p>
          <w:p w14:paraId="6BFA5A91" w14:textId="6556123F" w:rsidR="00E56594" w:rsidRPr="0086282F" w:rsidRDefault="0072050B" w:rsidP="0072050B">
            <w:pPr>
              <w:pStyle w:val="NoSpacing"/>
            </w:pPr>
            <w:r w:rsidRPr="001A0991">
              <w:rPr>
                <w:b/>
                <w:bCs/>
              </w:rPr>
              <w:t>Action:</w:t>
            </w:r>
            <w:r w:rsidRPr="0086282F">
              <w:t xml:space="preserve"> The D</w:t>
            </w:r>
            <w:r w:rsidR="001A0991">
              <w:t xml:space="preserve">oR </w:t>
            </w:r>
            <w:r w:rsidRPr="0086282F">
              <w:t>to investigate the queries and provide updated Appendices A, B and C to be circulated.</w:t>
            </w:r>
          </w:p>
          <w:p w14:paraId="21ABFBD1" w14:textId="77777777" w:rsidR="00D87B9D" w:rsidRDefault="00D87B9D" w:rsidP="00584CFB">
            <w:pPr>
              <w:pStyle w:val="NoSpacing"/>
              <w:rPr>
                <w:b/>
                <w:bCs/>
              </w:rPr>
            </w:pPr>
          </w:p>
          <w:p w14:paraId="5F48729F" w14:textId="33CB84A2" w:rsidR="00E56594" w:rsidRPr="0086282F" w:rsidRDefault="0072050B" w:rsidP="00584CFB">
            <w:pPr>
              <w:pStyle w:val="NoSpacing"/>
            </w:pPr>
            <w:r w:rsidRPr="0086282F">
              <w:rPr>
                <w:b/>
                <w:bCs/>
              </w:rPr>
              <w:t>Proposed for Closure -</w:t>
            </w:r>
            <w:r w:rsidRPr="0086282F">
              <w:t xml:space="preserve"> 10/12/2025 - Updated report circulated and uploaded to the meeting pack in Convene.</w:t>
            </w:r>
          </w:p>
          <w:p w14:paraId="7D182F32" w14:textId="77777777" w:rsidR="0072050B" w:rsidRPr="0086282F" w:rsidRDefault="0072050B" w:rsidP="00584CFB">
            <w:pPr>
              <w:pStyle w:val="NoSpacing"/>
            </w:pPr>
          </w:p>
          <w:p w14:paraId="16E52CD3" w14:textId="6440A967" w:rsidR="0072050B" w:rsidRPr="0086282F" w:rsidRDefault="00E56594" w:rsidP="0072050B">
            <w:pPr>
              <w:pStyle w:val="NoSpacing"/>
            </w:pPr>
            <w:r w:rsidRPr="0086282F">
              <w:rPr>
                <w:b/>
                <w:bCs/>
              </w:rPr>
              <w:t>Action 3:</w:t>
            </w:r>
            <w:r w:rsidRPr="0086282F">
              <w:t xml:space="preserve"> </w:t>
            </w:r>
            <w:r w:rsidR="0072050B" w:rsidRPr="0086282F">
              <w:t>The D</w:t>
            </w:r>
            <w:r w:rsidR="001A0991">
              <w:t>oPDC</w:t>
            </w:r>
            <w:r w:rsidR="0072050B" w:rsidRPr="0086282F">
              <w:t xml:space="preserve"> clarified that for buildings over 18 metres, a formal building safety case must be developed to demonstrate how the building is performing and to ensure all necessary safety measures are in place. He emphasised the importance of engagement and noted a gap in Board reporting on this matter.</w:t>
            </w:r>
          </w:p>
          <w:p w14:paraId="125408AC" w14:textId="77777777" w:rsidR="00D87B9D" w:rsidRDefault="00D87B9D" w:rsidP="0072050B">
            <w:pPr>
              <w:pStyle w:val="NoSpacing"/>
            </w:pPr>
          </w:p>
          <w:p w14:paraId="70F54C8D" w14:textId="737CB5B6" w:rsidR="0072050B" w:rsidRPr="0086282F" w:rsidRDefault="0072050B" w:rsidP="0072050B">
            <w:pPr>
              <w:pStyle w:val="NoSpacing"/>
            </w:pPr>
            <w:r w:rsidRPr="0086282F">
              <w:t xml:space="preserve">The Chair requested that a future training session be arranged for the Board on the role and responsibilities of the Building Safety Regulator. </w:t>
            </w:r>
          </w:p>
          <w:p w14:paraId="5645FDE7" w14:textId="77777777" w:rsidR="00D87B9D" w:rsidRDefault="00D87B9D" w:rsidP="0072050B">
            <w:pPr>
              <w:pStyle w:val="NoSpacing"/>
            </w:pPr>
          </w:p>
          <w:p w14:paraId="536AEF5B" w14:textId="517024F0" w:rsidR="00E56594" w:rsidRPr="0086282F" w:rsidRDefault="0072050B" w:rsidP="0072050B">
            <w:pPr>
              <w:pStyle w:val="NoSpacing"/>
            </w:pPr>
            <w:r w:rsidRPr="0086282F">
              <w:t>Action: A future training session for the Board on the role and responsibilities of the Building Safety Regulator to be arranged.</w:t>
            </w:r>
          </w:p>
          <w:p w14:paraId="7C5491AB" w14:textId="77777777" w:rsidR="00D87B9D" w:rsidRDefault="00D87B9D" w:rsidP="0072050B">
            <w:pPr>
              <w:pStyle w:val="NoSpacing"/>
              <w:rPr>
                <w:b/>
                <w:bCs/>
              </w:rPr>
            </w:pPr>
          </w:p>
          <w:p w14:paraId="5BF4D5DB" w14:textId="12485794" w:rsidR="0072050B" w:rsidRPr="0086282F" w:rsidRDefault="0072050B" w:rsidP="0072050B">
            <w:pPr>
              <w:pStyle w:val="NoSpacing"/>
            </w:pPr>
            <w:r w:rsidRPr="0086282F">
              <w:rPr>
                <w:b/>
                <w:bCs/>
              </w:rPr>
              <w:t xml:space="preserve">Proposed for Closure - </w:t>
            </w:r>
            <w:r w:rsidRPr="0086282F">
              <w:t>DoPDC advised - A number of Board members attended the Compliance Awareness Refresher session delivered by Pennington Choices earlier in December. The same session will also be offered to Board members who were unable to attend the session. The</w:t>
            </w:r>
            <w:r w:rsidR="00F642CE" w:rsidRPr="0086282F">
              <w:t xml:space="preserve"> next</w:t>
            </w:r>
            <w:r w:rsidRPr="0086282F">
              <w:t xml:space="preserve"> session</w:t>
            </w:r>
            <w:r w:rsidR="00F642CE" w:rsidRPr="0086282F">
              <w:t xml:space="preserve"> is</w:t>
            </w:r>
            <w:r w:rsidRPr="0086282F">
              <w:t xml:space="preserve"> planned for </w:t>
            </w:r>
            <w:r w:rsidR="00F642CE" w:rsidRPr="0086282F">
              <w:t>5 March</w:t>
            </w:r>
            <w:r w:rsidRPr="0086282F">
              <w:t xml:space="preserve"> 2026.</w:t>
            </w:r>
          </w:p>
          <w:p w14:paraId="39BD4DC8" w14:textId="77777777" w:rsidR="007A5968" w:rsidRPr="0086282F" w:rsidRDefault="007A5968" w:rsidP="0072050B">
            <w:pPr>
              <w:pStyle w:val="NoSpacing"/>
            </w:pPr>
          </w:p>
          <w:p w14:paraId="369B5E46" w14:textId="606E4C22" w:rsidR="007A5968" w:rsidRDefault="007A5968" w:rsidP="007A5968">
            <w:pPr>
              <w:pStyle w:val="NoSpacing"/>
            </w:pPr>
            <w:r w:rsidRPr="0086282F">
              <w:rPr>
                <w:b/>
                <w:bCs/>
              </w:rPr>
              <w:t>Action 4:</w:t>
            </w:r>
            <w:r w:rsidRPr="0086282F">
              <w:t xml:space="preserve"> It was noted that some Board members are being asked to provide monthly feedback to the Council. The Chair welcomed this development, stating that it was positive for Board members to attend Council meetings and contribute informed feedback, supported by their understanding of the issues.</w:t>
            </w:r>
          </w:p>
          <w:p w14:paraId="0E5710A6" w14:textId="77777777" w:rsidR="00D87B9D" w:rsidRPr="0086282F" w:rsidRDefault="00D87B9D" w:rsidP="007A5968">
            <w:pPr>
              <w:pStyle w:val="NoSpacing"/>
            </w:pPr>
          </w:p>
          <w:p w14:paraId="0508716C" w14:textId="252024F1" w:rsidR="007A5968" w:rsidRDefault="007A5968" w:rsidP="007A5968">
            <w:pPr>
              <w:pStyle w:val="NoSpacing"/>
            </w:pPr>
            <w:r w:rsidRPr="0086282F">
              <w:t>Action: The D</w:t>
            </w:r>
            <w:r w:rsidR="001A0991">
              <w:t>oPDC</w:t>
            </w:r>
            <w:r w:rsidRPr="0086282F">
              <w:t xml:space="preserve"> to liaise with Board members to identify any support they may require in fulfilling their responsibilities as Council nominees.</w:t>
            </w:r>
          </w:p>
          <w:p w14:paraId="38C89C1A" w14:textId="77777777" w:rsidR="00D87B9D" w:rsidRPr="0086282F" w:rsidRDefault="00D87B9D" w:rsidP="007A5968">
            <w:pPr>
              <w:pStyle w:val="NoSpacing"/>
            </w:pPr>
          </w:p>
          <w:p w14:paraId="76B20658" w14:textId="77777777" w:rsidR="00E56594" w:rsidRPr="0086282F" w:rsidRDefault="007A5968" w:rsidP="00584CFB">
            <w:pPr>
              <w:pStyle w:val="NoSpacing"/>
            </w:pPr>
            <w:r w:rsidRPr="0086282F">
              <w:rPr>
                <w:b/>
                <w:bCs/>
              </w:rPr>
              <w:t>Proposed for Closure -</w:t>
            </w:r>
            <w:r w:rsidRPr="0086282F">
              <w:t xml:space="preserve"> DoPDC advised -We have reached out to the council nominee Board members who have confirmed that they were satisfied with the support currently available to them. They are comfortable with their skills and responsibilities. As they will have their appraisal with the Chair of the Board in early January, they will undertake some reflection over the holiday period and will advise us if any additional support is required</w:t>
            </w:r>
          </w:p>
          <w:p w14:paraId="71E2C49B" w14:textId="77777777" w:rsidR="007A5968" w:rsidRPr="0086282F" w:rsidRDefault="007A5968" w:rsidP="00584CFB">
            <w:pPr>
              <w:pStyle w:val="NoSpacing"/>
            </w:pPr>
          </w:p>
          <w:p w14:paraId="67286616" w14:textId="465C8CB3" w:rsidR="007A5968" w:rsidRPr="0086282F" w:rsidRDefault="007A5968" w:rsidP="00584CFB">
            <w:pPr>
              <w:pStyle w:val="NoSpacing"/>
            </w:pPr>
            <w:r w:rsidRPr="0086282F">
              <w:rPr>
                <w:b/>
                <w:bCs/>
              </w:rPr>
              <w:lastRenderedPageBreak/>
              <w:t xml:space="preserve">Action 5 - </w:t>
            </w:r>
            <w:r w:rsidRPr="0086282F">
              <w:t>Comments from the board pack within Convene to be included as an appendix to the minutes.</w:t>
            </w:r>
          </w:p>
          <w:p w14:paraId="22B3F41F" w14:textId="77777777" w:rsidR="00F60E64" w:rsidRDefault="00F60E64" w:rsidP="00584CFB">
            <w:pPr>
              <w:pStyle w:val="NoSpacing"/>
              <w:rPr>
                <w:b/>
                <w:bCs/>
              </w:rPr>
            </w:pPr>
          </w:p>
          <w:p w14:paraId="63534B51" w14:textId="46FE72AE" w:rsidR="007A5968" w:rsidRPr="0086282F" w:rsidRDefault="007A5968" w:rsidP="00584CFB">
            <w:pPr>
              <w:pStyle w:val="NoSpacing"/>
            </w:pPr>
            <w:r w:rsidRPr="0086282F">
              <w:rPr>
                <w:b/>
                <w:bCs/>
              </w:rPr>
              <w:t>Proposed for Closure -</w:t>
            </w:r>
            <w:r w:rsidRPr="0086282F">
              <w:t xml:space="preserve"> HoRG advised -</w:t>
            </w:r>
            <w:r w:rsidR="00F60E64">
              <w:t xml:space="preserve"> </w:t>
            </w:r>
            <w:r w:rsidRPr="0086282F">
              <w:t xml:space="preserve">not sure that it will be appropriate to include comments from Convene, in all cases. </w:t>
            </w:r>
            <w:r w:rsidR="00F60E64">
              <w:t>T</w:t>
            </w:r>
            <w:r w:rsidRPr="0086282F">
              <w:t>he pertinent points</w:t>
            </w:r>
            <w:r w:rsidR="00F60E64">
              <w:t xml:space="preserve"> will be included in </w:t>
            </w:r>
            <w:r w:rsidRPr="0086282F">
              <w:t xml:space="preserve">the </w:t>
            </w:r>
            <w:proofErr w:type="gramStart"/>
            <w:r w:rsidRPr="0086282F">
              <w:t>minute’s .</w:t>
            </w:r>
            <w:proofErr w:type="gramEnd"/>
          </w:p>
          <w:p w14:paraId="1D7CF4D4" w14:textId="77777777" w:rsidR="007A5968" w:rsidRPr="0086282F" w:rsidRDefault="007A5968" w:rsidP="00584CFB">
            <w:pPr>
              <w:pStyle w:val="NoSpacing"/>
              <w:rPr>
                <w:b/>
                <w:bCs/>
              </w:rPr>
            </w:pPr>
          </w:p>
          <w:p w14:paraId="40D7FFFD" w14:textId="7E5FC9E4" w:rsidR="007A5968" w:rsidRPr="0086282F" w:rsidRDefault="007A5968" w:rsidP="007A5968">
            <w:pPr>
              <w:pStyle w:val="NoSpacing"/>
            </w:pPr>
            <w:r w:rsidRPr="0086282F">
              <w:rPr>
                <w:b/>
                <w:bCs/>
              </w:rPr>
              <w:t>Action 6 -</w:t>
            </w:r>
            <w:r w:rsidRPr="0086282F">
              <w:t xml:space="preserve"> The Chair requested that an update be brought back to the Board in six months, specifically addressing the budgetary impact of compliance-related activities, such as the temporary relocation of</w:t>
            </w:r>
            <w:r w:rsidRPr="0086282F">
              <w:rPr>
                <w:b/>
                <w:bCs/>
              </w:rPr>
              <w:t xml:space="preserve"> </w:t>
            </w:r>
            <w:r w:rsidRPr="0086282F">
              <w:t>residents into hotels. It was suggested that this information be incorporated into ongoing reporting, potentially within the monthly performance report.</w:t>
            </w:r>
          </w:p>
          <w:p w14:paraId="251DB273" w14:textId="77777777" w:rsidR="00F60E64" w:rsidRDefault="00F60E64" w:rsidP="007A5968">
            <w:pPr>
              <w:pStyle w:val="NoSpacing"/>
            </w:pPr>
          </w:p>
          <w:p w14:paraId="0867F32A" w14:textId="25A3B849" w:rsidR="007A5968" w:rsidRPr="0086282F" w:rsidRDefault="007A5968" w:rsidP="007A5968">
            <w:pPr>
              <w:pStyle w:val="NoSpacing"/>
            </w:pPr>
            <w:r w:rsidRPr="0086282F">
              <w:t>Action: The D</w:t>
            </w:r>
            <w:r w:rsidR="001A0991">
              <w:t>oR</w:t>
            </w:r>
            <w:r w:rsidRPr="0086282F">
              <w:t xml:space="preserve"> to consider how matters relating to Awaab’s Law can be integrated into regular performance reporting.</w:t>
            </w:r>
          </w:p>
          <w:p w14:paraId="3A76A131" w14:textId="77777777" w:rsidR="00F60E64" w:rsidRDefault="00F60E64" w:rsidP="007A5968">
            <w:pPr>
              <w:pStyle w:val="NoSpacing"/>
              <w:rPr>
                <w:b/>
                <w:bCs/>
              </w:rPr>
            </w:pPr>
          </w:p>
          <w:p w14:paraId="1A74374D" w14:textId="6F5F6A1C" w:rsidR="007A5968" w:rsidRPr="0086282F" w:rsidRDefault="007A5968" w:rsidP="007A5968">
            <w:pPr>
              <w:pStyle w:val="NoSpacing"/>
            </w:pPr>
            <w:r w:rsidRPr="0086282F">
              <w:rPr>
                <w:b/>
                <w:bCs/>
              </w:rPr>
              <w:t xml:space="preserve">Proposed for Closure </w:t>
            </w:r>
            <w:r w:rsidRPr="0086282F">
              <w:t>- There will be a paper going to Board in February with proposed metrics for 26/27 that will cover this off</w:t>
            </w:r>
          </w:p>
          <w:p w14:paraId="26C26E84" w14:textId="77777777" w:rsidR="007A5968" w:rsidRPr="0086282F" w:rsidRDefault="007A5968" w:rsidP="007A5968">
            <w:pPr>
              <w:pStyle w:val="NoSpacing"/>
              <w:rPr>
                <w:b/>
                <w:bCs/>
              </w:rPr>
            </w:pPr>
          </w:p>
          <w:p w14:paraId="75402CD8" w14:textId="5479F09F" w:rsidR="007A5968" w:rsidRPr="0086282F" w:rsidRDefault="007A5968" w:rsidP="007A5968">
            <w:pPr>
              <w:pStyle w:val="NoSpacing"/>
            </w:pPr>
            <w:r w:rsidRPr="0086282F">
              <w:rPr>
                <w:b/>
                <w:bCs/>
              </w:rPr>
              <w:t>Action 7 -</w:t>
            </w:r>
            <w:r w:rsidRPr="0086282F">
              <w:t xml:space="preserve"> A proposal was made to add the topic to the agenda for the upcoming Transition Oversight Group (TOG) meeting, with a request for the WNC Project Manager to provide clarification on HTH’s position for feedback to the Board.</w:t>
            </w:r>
          </w:p>
          <w:p w14:paraId="50001BDC" w14:textId="77777777" w:rsidR="00F60E64" w:rsidRDefault="00F60E64" w:rsidP="007A5968">
            <w:pPr>
              <w:pStyle w:val="NoSpacing"/>
            </w:pPr>
          </w:p>
          <w:p w14:paraId="3525E4C9" w14:textId="44176164" w:rsidR="007A5968" w:rsidRPr="0086282F" w:rsidRDefault="007A5968" w:rsidP="007A5968">
            <w:pPr>
              <w:pStyle w:val="NoSpacing"/>
              <w:rPr>
                <w:b/>
                <w:bCs/>
              </w:rPr>
            </w:pPr>
            <w:r w:rsidRPr="0086282F">
              <w:t>Action:  Add the future of HTH CIC to the agenda for a future TOG meeting, with a request for the WNC Project Manager to provide clarification on HTH’s position for feedback to the Board</w:t>
            </w:r>
            <w:r w:rsidRPr="0086282F">
              <w:rPr>
                <w:b/>
                <w:bCs/>
              </w:rPr>
              <w:t>.</w:t>
            </w:r>
          </w:p>
          <w:p w14:paraId="6B7C1FC1" w14:textId="77777777" w:rsidR="00F60E64" w:rsidRDefault="00F60E64" w:rsidP="007A5968">
            <w:pPr>
              <w:pStyle w:val="NoSpacing"/>
              <w:rPr>
                <w:b/>
                <w:bCs/>
              </w:rPr>
            </w:pPr>
          </w:p>
          <w:p w14:paraId="032ECD0C" w14:textId="0A25E984" w:rsidR="007A5968" w:rsidRPr="0086282F" w:rsidRDefault="007A5968" w:rsidP="007A5968">
            <w:pPr>
              <w:pStyle w:val="NoSpacing"/>
            </w:pPr>
            <w:r w:rsidRPr="0086282F">
              <w:rPr>
                <w:b/>
                <w:bCs/>
              </w:rPr>
              <w:t xml:space="preserve">Proposed for Closure </w:t>
            </w:r>
            <w:r w:rsidRPr="0086282F">
              <w:t>- HoRG advised -HTH CIC was raised at TOG on 19 November but there is no further clarification from WNC yet.</w:t>
            </w:r>
          </w:p>
          <w:p w14:paraId="64193AF8" w14:textId="77777777" w:rsidR="007A5968" w:rsidRPr="0086282F" w:rsidRDefault="007A5968" w:rsidP="007A5968">
            <w:pPr>
              <w:pStyle w:val="NoSpacing"/>
              <w:rPr>
                <w:b/>
                <w:bCs/>
              </w:rPr>
            </w:pPr>
          </w:p>
          <w:p w14:paraId="2F5327CE" w14:textId="74246CB4" w:rsidR="00657DA5" w:rsidRPr="0086282F" w:rsidRDefault="007A5968" w:rsidP="00657DA5">
            <w:pPr>
              <w:pStyle w:val="NoSpacing"/>
            </w:pPr>
            <w:r w:rsidRPr="0086282F">
              <w:rPr>
                <w:b/>
                <w:bCs/>
              </w:rPr>
              <w:t xml:space="preserve">Action 8 - </w:t>
            </w:r>
            <w:r w:rsidR="00657DA5" w:rsidRPr="0086282F">
              <w:t>The Board members considered the forward plan and reflected that; the forward plan must ensure that the issues raised in this meeting are regularly reviewed relating to building safety, compliance and DMC as planned.</w:t>
            </w:r>
          </w:p>
          <w:p w14:paraId="72F9F71A" w14:textId="77777777" w:rsidR="00F60E64" w:rsidRDefault="00F60E64" w:rsidP="00657DA5">
            <w:pPr>
              <w:pStyle w:val="NoSpacing"/>
            </w:pPr>
          </w:p>
          <w:p w14:paraId="683A2ECD" w14:textId="2CBE9370" w:rsidR="007A5968" w:rsidRPr="0086282F" w:rsidRDefault="00657DA5" w:rsidP="00657DA5">
            <w:pPr>
              <w:pStyle w:val="NoSpacing"/>
            </w:pPr>
            <w:r w:rsidRPr="0086282F">
              <w:t>Action: The D</w:t>
            </w:r>
            <w:r w:rsidR="001A0991">
              <w:t>oPDC</w:t>
            </w:r>
            <w:r w:rsidRPr="0086282F">
              <w:t>, to consider how to provide regular assurance to the board on building safety, compliance and DMC. A consolidated report to be produced for regular review by the board</w:t>
            </w:r>
          </w:p>
          <w:p w14:paraId="6A5A9CA6" w14:textId="77777777" w:rsidR="00F60E64" w:rsidRDefault="00F60E64" w:rsidP="00F60E64">
            <w:pPr>
              <w:pStyle w:val="NoSpacing"/>
              <w:rPr>
                <w:b/>
                <w:bCs/>
              </w:rPr>
            </w:pPr>
          </w:p>
          <w:p w14:paraId="10C08A2D" w14:textId="2A825567" w:rsidR="00657DA5" w:rsidRDefault="00657DA5" w:rsidP="00F60E64">
            <w:pPr>
              <w:pStyle w:val="NoSpacing"/>
            </w:pPr>
            <w:r w:rsidRPr="0086282F">
              <w:rPr>
                <w:b/>
                <w:bCs/>
              </w:rPr>
              <w:t xml:space="preserve">Proposed for Closure </w:t>
            </w:r>
            <w:r w:rsidRPr="0086282F">
              <w:t xml:space="preserve">- DoPDC advised - As Building Safety and compliance will be managed through c365, this information to be shared through the c365 compliance scorecard which is autogenerated and held within the system. This means that all the data and information is stored, managed and reported on in the same place. This will be of importance particularly during our transition to the new HMS and ensuring there is one version of the truth. </w:t>
            </w:r>
          </w:p>
          <w:p w14:paraId="3F610289" w14:textId="77777777" w:rsidR="00F60E64" w:rsidRPr="001A0991" w:rsidRDefault="00F60E64" w:rsidP="00F60E64">
            <w:pPr>
              <w:pStyle w:val="NoSpacing"/>
              <w:rPr>
                <w:b/>
                <w:bCs/>
              </w:rPr>
            </w:pPr>
          </w:p>
          <w:p w14:paraId="153F2C47" w14:textId="77777777" w:rsidR="00657DA5" w:rsidRPr="0086282F" w:rsidRDefault="00657DA5" w:rsidP="00657DA5">
            <w:pPr>
              <w:pStyle w:val="NoSpacing"/>
            </w:pPr>
            <w:r w:rsidRPr="0086282F">
              <w:lastRenderedPageBreak/>
              <w:t xml:space="preserve">The plan is to develop Board dashboards over the coming months which will include compliance information, e.g. fire door compliance. </w:t>
            </w:r>
          </w:p>
          <w:p w14:paraId="321BC1AA" w14:textId="77777777" w:rsidR="00F60E64" w:rsidRDefault="00F60E64" w:rsidP="00657DA5">
            <w:pPr>
              <w:pStyle w:val="NoSpacing"/>
            </w:pPr>
          </w:p>
          <w:p w14:paraId="16FB5491" w14:textId="49ED5D29" w:rsidR="007A5968" w:rsidRPr="0086282F" w:rsidRDefault="00657DA5" w:rsidP="00657DA5">
            <w:pPr>
              <w:pStyle w:val="NoSpacing"/>
              <w:rPr>
                <w:b/>
                <w:bCs/>
              </w:rPr>
            </w:pPr>
            <w:r w:rsidRPr="0086282F">
              <w:t>With regards to DMC, this is managed in Open Housing, and therefore we will provide a separate update report on this. These dashboards will be in addition to the quarterly board performance report that includes agreed Corporate KPIs in relation to Compliance and DMC.</w:t>
            </w:r>
          </w:p>
          <w:p w14:paraId="27880167" w14:textId="1045BC87" w:rsidR="007A5968" w:rsidRPr="0086282F" w:rsidRDefault="007A5968" w:rsidP="00584CFB">
            <w:pPr>
              <w:pStyle w:val="NoSpacing"/>
              <w:rPr>
                <w:b/>
                <w:bCs/>
              </w:rPr>
            </w:pPr>
          </w:p>
        </w:tc>
        <w:tc>
          <w:tcPr>
            <w:tcW w:w="1028" w:type="dxa"/>
            <w:gridSpan w:val="2"/>
          </w:tcPr>
          <w:p w14:paraId="27AA96E6" w14:textId="77777777" w:rsidR="00067CE7" w:rsidRPr="0086282F" w:rsidRDefault="00067CE7" w:rsidP="00584CFB">
            <w:pPr>
              <w:pStyle w:val="NoSpacing"/>
            </w:pPr>
          </w:p>
        </w:tc>
      </w:tr>
      <w:tr w:rsidR="00067CE7" w:rsidRPr="00241AF6" w14:paraId="6AAFD152" w14:textId="77777777" w:rsidTr="00584CFB">
        <w:tc>
          <w:tcPr>
            <w:tcW w:w="9243" w:type="dxa"/>
            <w:gridSpan w:val="8"/>
            <w:shd w:val="clear" w:color="auto" w:fill="D9D9D9"/>
          </w:tcPr>
          <w:p w14:paraId="7E6B051B" w14:textId="15DBF427" w:rsidR="00067CE7" w:rsidRPr="0081520D" w:rsidRDefault="00067CE7" w:rsidP="00584CFB">
            <w:pPr>
              <w:rPr>
                <w:b/>
                <w:color w:val="000000"/>
                <w:sz w:val="24"/>
                <w:szCs w:val="24"/>
              </w:rPr>
            </w:pPr>
            <w:r w:rsidRPr="0081520D">
              <w:rPr>
                <w:b/>
                <w:color w:val="000000"/>
                <w:sz w:val="24"/>
                <w:szCs w:val="24"/>
              </w:rPr>
              <w:lastRenderedPageBreak/>
              <w:t>Item</w:t>
            </w:r>
            <w:r w:rsidRPr="0081520D">
              <w:rPr>
                <w:b/>
                <w:sz w:val="24"/>
                <w:szCs w:val="24"/>
              </w:rPr>
              <w:t xml:space="preserve"> 5:</w:t>
            </w:r>
            <w:r w:rsidR="00192783" w:rsidRPr="0081520D">
              <w:rPr>
                <w:b/>
                <w:sz w:val="24"/>
                <w:szCs w:val="24"/>
              </w:rPr>
              <w:t xml:space="preserve">    </w:t>
            </w:r>
            <w:r w:rsidR="00584CFB">
              <w:rPr>
                <w:b/>
                <w:sz w:val="24"/>
                <w:szCs w:val="24"/>
              </w:rPr>
              <w:t>Chief Executives Update</w:t>
            </w:r>
          </w:p>
        </w:tc>
      </w:tr>
      <w:tr w:rsidR="00067CE7" w:rsidRPr="00C22BCD" w14:paraId="5F02C587" w14:textId="77777777" w:rsidTr="00584CFB">
        <w:tc>
          <w:tcPr>
            <w:tcW w:w="988" w:type="dxa"/>
            <w:gridSpan w:val="3"/>
          </w:tcPr>
          <w:p w14:paraId="75FE2202" w14:textId="7B208FA9" w:rsidR="00067CE7" w:rsidRPr="00C22BCD" w:rsidRDefault="00067CE7" w:rsidP="00584CFB">
            <w:pPr>
              <w:pStyle w:val="NoSpacing"/>
              <w:rPr>
                <w:color w:val="000000"/>
              </w:rPr>
            </w:pPr>
            <w:r w:rsidRPr="00C22BCD">
              <w:rPr>
                <w:color w:val="000000"/>
              </w:rPr>
              <w:t>5</w:t>
            </w:r>
          </w:p>
        </w:tc>
        <w:tc>
          <w:tcPr>
            <w:tcW w:w="7227" w:type="dxa"/>
            <w:gridSpan w:val="3"/>
          </w:tcPr>
          <w:p w14:paraId="22C0B769" w14:textId="6513223D" w:rsidR="00E56594" w:rsidRPr="00C22BCD" w:rsidRDefault="004A2625" w:rsidP="00584CFB">
            <w:pPr>
              <w:pStyle w:val="NoSpacing"/>
            </w:pPr>
            <w:r w:rsidRPr="00C22BCD">
              <w:t>The Chief Executive provided update</w:t>
            </w:r>
            <w:r w:rsidR="00F60E64">
              <w:t>s</w:t>
            </w:r>
            <w:r w:rsidRPr="00C22BCD">
              <w:t xml:space="preserve"> on the following matters:</w:t>
            </w:r>
          </w:p>
          <w:p w14:paraId="729EAD22" w14:textId="3A967C1F" w:rsidR="004A2625" w:rsidRPr="00C22BCD" w:rsidRDefault="004A2625" w:rsidP="00DC5591">
            <w:pPr>
              <w:pStyle w:val="NoSpacing"/>
              <w:numPr>
                <w:ilvl w:val="0"/>
                <w:numId w:val="1"/>
              </w:numPr>
            </w:pPr>
            <w:r w:rsidRPr="00C22BCD">
              <w:t>Housing Service Transition Project</w:t>
            </w:r>
          </w:p>
          <w:p w14:paraId="4C64E4AA" w14:textId="6DFA68E1" w:rsidR="004A2625" w:rsidRPr="00C22BCD" w:rsidRDefault="004A2625" w:rsidP="00DC5591">
            <w:pPr>
              <w:pStyle w:val="NoSpacing"/>
              <w:numPr>
                <w:ilvl w:val="0"/>
                <w:numId w:val="1"/>
              </w:numPr>
            </w:pPr>
            <w:r w:rsidRPr="00C22BCD">
              <w:t>Housing system replacement update</w:t>
            </w:r>
          </w:p>
          <w:p w14:paraId="55A53C93" w14:textId="268108F8" w:rsidR="004A2625" w:rsidRPr="00C22BCD" w:rsidRDefault="004A2625" w:rsidP="00DC5591">
            <w:pPr>
              <w:pStyle w:val="NoSpacing"/>
              <w:numPr>
                <w:ilvl w:val="0"/>
                <w:numId w:val="1"/>
              </w:numPr>
            </w:pPr>
            <w:r w:rsidRPr="00C22BCD">
              <w:t>Board away day outline</w:t>
            </w:r>
          </w:p>
          <w:p w14:paraId="3F11C60B" w14:textId="2B8C0EE8" w:rsidR="004A2625" w:rsidRPr="00C22BCD" w:rsidRDefault="004A2625" w:rsidP="00DC5591">
            <w:pPr>
              <w:pStyle w:val="NoSpacing"/>
              <w:numPr>
                <w:ilvl w:val="0"/>
                <w:numId w:val="1"/>
              </w:numPr>
            </w:pPr>
            <w:r w:rsidRPr="00C22BCD">
              <w:t>Ministry for Housing, Communities and local Government Reforms</w:t>
            </w:r>
          </w:p>
          <w:p w14:paraId="27E76A64" w14:textId="1DE3291C" w:rsidR="004A2625" w:rsidRPr="00C22BCD" w:rsidRDefault="004A2625" w:rsidP="00DC5591">
            <w:pPr>
              <w:pStyle w:val="NoSpacing"/>
              <w:numPr>
                <w:ilvl w:val="0"/>
                <w:numId w:val="1"/>
              </w:numPr>
            </w:pPr>
            <w:r w:rsidRPr="00C22BCD">
              <w:t>Implementation of C365 Compliance Software</w:t>
            </w:r>
          </w:p>
          <w:p w14:paraId="73E9425C" w14:textId="6549BAB1" w:rsidR="004A2625" w:rsidRPr="00C22BCD" w:rsidRDefault="004A2625" w:rsidP="00DC5591">
            <w:pPr>
              <w:pStyle w:val="NoSpacing"/>
              <w:numPr>
                <w:ilvl w:val="0"/>
                <w:numId w:val="1"/>
              </w:numPr>
            </w:pPr>
            <w:r w:rsidRPr="00C22BCD">
              <w:t>HSE investigation</w:t>
            </w:r>
          </w:p>
          <w:p w14:paraId="56A3C0ED" w14:textId="5C297B88" w:rsidR="004A2625" w:rsidRPr="00C22BCD" w:rsidRDefault="004A2625" w:rsidP="00DC5591">
            <w:pPr>
              <w:pStyle w:val="NoSpacing"/>
              <w:numPr>
                <w:ilvl w:val="0"/>
                <w:numId w:val="1"/>
              </w:numPr>
            </w:pPr>
            <w:r w:rsidRPr="00C22BCD">
              <w:t>Repairs Service Modernisation</w:t>
            </w:r>
          </w:p>
          <w:p w14:paraId="632D2787" w14:textId="51C0EC2C" w:rsidR="004A2625" w:rsidRPr="00C22BCD" w:rsidRDefault="004A2625" w:rsidP="00DC5591">
            <w:pPr>
              <w:pStyle w:val="NoSpacing"/>
              <w:numPr>
                <w:ilvl w:val="0"/>
                <w:numId w:val="1"/>
              </w:numPr>
            </w:pPr>
            <w:r w:rsidRPr="00C22BCD">
              <w:t>New Vehicle Fleet</w:t>
            </w:r>
          </w:p>
          <w:p w14:paraId="7796F645" w14:textId="28281DA4" w:rsidR="004A2625" w:rsidRPr="00C22BCD" w:rsidRDefault="004A2625" w:rsidP="00DC5591">
            <w:pPr>
              <w:pStyle w:val="NoSpacing"/>
              <w:numPr>
                <w:ilvl w:val="0"/>
                <w:numId w:val="1"/>
              </w:numPr>
            </w:pPr>
            <w:r w:rsidRPr="00C22BCD">
              <w:t>Material Contract</w:t>
            </w:r>
          </w:p>
          <w:p w14:paraId="186A6B3F" w14:textId="77777777" w:rsidR="004A2625" w:rsidRPr="00C22BCD" w:rsidRDefault="004A2625" w:rsidP="004A2625">
            <w:pPr>
              <w:pStyle w:val="NoSpacing"/>
            </w:pPr>
          </w:p>
          <w:p w14:paraId="2316C13F" w14:textId="3602F0B3" w:rsidR="00F642CE" w:rsidRDefault="00F642CE" w:rsidP="00F642CE">
            <w:pPr>
              <w:pStyle w:val="NoSpacing"/>
            </w:pPr>
            <w:r w:rsidRPr="00C22BCD">
              <w:t xml:space="preserve">Board members expressed a desire for more proactive engagement with Council representatives at the Away Day and highlighted the need for clarity on reporting lines post-transition. It was noted that the current </w:t>
            </w:r>
            <w:r w:rsidR="00962550" w:rsidRPr="00C22BCD">
              <w:t xml:space="preserve">WNC </w:t>
            </w:r>
            <w:r w:rsidRPr="00C22BCD">
              <w:t xml:space="preserve">attendees may not have the appropriate </w:t>
            </w:r>
            <w:r w:rsidR="00962550" w:rsidRPr="00C22BCD">
              <w:t>decision-making</w:t>
            </w:r>
            <w:r w:rsidRPr="00C22BCD">
              <w:t xml:space="preserve"> responsibility to action the concerns of the NPH Board.</w:t>
            </w:r>
          </w:p>
          <w:p w14:paraId="4E1A2007" w14:textId="77777777" w:rsidR="00F60E64" w:rsidRPr="00C22BCD" w:rsidRDefault="00F60E64" w:rsidP="00F642CE">
            <w:pPr>
              <w:pStyle w:val="NoSpacing"/>
            </w:pPr>
          </w:p>
          <w:p w14:paraId="2995FD98" w14:textId="4F806969" w:rsidR="00F642CE" w:rsidRDefault="00F642CE" w:rsidP="00F642CE">
            <w:pPr>
              <w:pStyle w:val="NoSpacing"/>
            </w:pPr>
            <w:r w:rsidRPr="00C22BCD">
              <w:rPr>
                <w:b/>
                <w:bCs/>
              </w:rPr>
              <w:t>Action:</w:t>
            </w:r>
            <w:r w:rsidRPr="00C22BCD">
              <w:t xml:space="preserve"> All Board Members to forward areas of concern</w:t>
            </w:r>
            <w:r w:rsidR="00962550" w:rsidRPr="00C22BCD">
              <w:t xml:space="preserve"> with the transition to the Chair</w:t>
            </w:r>
            <w:r w:rsidRPr="00C22BCD">
              <w:t xml:space="preserve"> </w:t>
            </w:r>
            <w:r w:rsidR="00962550" w:rsidRPr="00C22BCD">
              <w:t>for</w:t>
            </w:r>
            <w:r w:rsidRPr="00C22BCD">
              <w:t xml:space="preserve"> WNC to respond to in</w:t>
            </w:r>
            <w:r w:rsidR="00962550" w:rsidRPr="00C22BCD">
              <w:t xml:space="preserve"> </w:t>
            </w:r>
            <w:r w:rsidRPr="00C22BCD">
              <w:t>advance</w:t>
            </w:r>
            <w:r w:rsidR="00962550" w:rsidRPr="00C22BCD">
              <w:t xml:space="preserve"> o</w:t>
            </w:r>
            <w:r w:rsidRPr="00C22BCD">
              <w:t xml:space="preserve">f the awayday and in time for her meeting with the Director </w:t>
            </w:r>
            <w:r w:rsidR="00962550" w:rsidRPr="00C22BCD">
              <w:t xml:space="preserve">of Communities and Opportunities </w:t>
            </w:r>
            <w:r w:rsidRPr="00C22BCD">
              <w:t>on 16 February 2026.</w:t>
            </w:r>
          </w:p>
          <w:p w14:paraId="1F8A71AA" w14:textId="77777777" w:rsidR="00F60E64" w:rsidRPr="00C22BCD" w:rsidRDefault="00F60E64" w:rsidP="00F642CE">
            <w:pPr>
              <w:pStyle w:val="NoSpacing"/>
            </w:pPr>
          </w:p>
          <w:p w14:paraId="6CB8BE66" w14:textId="07E8AABE" w:rsidR="00F642CE" w:rsidRPr="00C22BCD" w:rsidRDefault="00962550" w:rsidP="00F642CE">
            <w:pPr>
              <w:pStyle w:val="NoSpacing"/>
            </w:pPr>
            <w:r w:rsidRPr="00C22BCD">
              <w:rPr>
                <w:b/>
                <w:bCs/>
              </w:rPr>
              <w:t xml:space="preserve">Action: </w:t>
            </w:r>
            <w:r w:rsidRPr="00C22BCD">
              <w:t>The Chair to write to the WNC Interim Chief Executive to request that he meet with the NPH Board so they can directly raise their concerns with him</w:t>
            </w:r>
          </w:p>
          <w:p w14:paraId="1C9C78F6" w14:textId="77777777" w:rsidR="00962550" w:rsidRPr="00C22BCD" w:rsidRDefault="00962550" w:rsidP="00F642CE">
            <w:pPr>
              <w:pStyle w:val="NoSpacing"/>
            </w:pPr>
          </w:p>
          <w:p w14:paraId="05FCD71B" w14:textId="2CDB1550" w:rsidR="009805C2" w:rsidRPr="00C22BCD" w:rsidRDefault="00F642CE" w:rsidP="00F642CE">
            <w:pPr>
              <w:pStyle w:val="NoSpacing"/>
            </w:pPr>
            <w:r w:rsidRPr="00C22BCD">
              <w:t>A</w:t>
            </w:r>
            <w:r w:rsidR="00962550" w:rsidRPr="00C22BCD">
              <w:t xml:space="preserve"> Board Member</w:t>
            </w:r>
            <w:r w:rsidRPr="00C22BCD">
              <w:t xml:space="preserve"> commended the successful rollout of C365, requesting that staff efforts be </w:t>
            </w:r>
            <w:r w:rsidR="009805C2" w:rsidRPr="00C22BCD">
              <w:t>celebrated</w:t>
            </w:r>
            <w:r w:rsidRPr="00C22BCD">
              <w:t xml:space="preserve">. </w:t>
            </w:r>
            <w:r w:rsidR="009805C2" w:rsidRPr="00C22BCD">
              <w:t>The DoPDC agreed to take the thanks of the Board back to the officers concerned.</w:t>
            </w:r>
          </w:p>
          <w:p w14:paraId="67BA7D4B" w14:textId="77777777" w:rsidR="009805C2" w:rsidRPr="00C22BCD" w:rsidRDefault="009805C2" w:rsidP="00F642CE">
            <w:pPr>
              <w:pStyle w:val="NoSpacing"/>
            </w:pPr>
          </w:p>
          <w:p w14:paraId="2EE03635" w14:textId="108EF938" w:rsidR="00F642CE" w:rsidRPr="00C22BCD" w:rsidRDefault="00F642CE" w:rsidP="00F642CE">
            <w:pPr>
              <w:pStyle w:val="NoSpacing"/>
            </w:pPr>
            <w:r w:rsidRPr="00C22BCD">
              <w:t xml:space="preserve">The Board also discussed the recent RIDDOR incident. </w:t>
            </w:r>
            <w:r w:rsidR="009805C2" w:rsidRPr="00C22BCD">
              <w:t>The CEx</w:t>
            </w:r>
            <w:r w:rsidRPr="00C22BCD">
              <w:t xml:space="preserve"> summarised the organisation’s rapid and thorough response, engagement with the HSE, and initial indications that no further action was likely.</w:t>
            </w:r>
          </w:p>
          <w:p w14:paraId="3516307B" w14:textId="77777777" w:rsidR="002570F3" w:rsidRPr="00C22BCD" w:rsidRDefault="002570F3" w:rsidP="004A2625">
            <w:pPr>
              <w:pStyle w:val="NoSpacing"/>
            </w:pPr>
          </w:p>
          <w:p w14:paraId="38A4764A" w14:textId="55C07EA1" w:rsidR="004A2625" w:rsidRPr="00C22BCD" w:rsidRDefault="00C22BCD" w:rsidP="004A2625">
            <w:pPr>
              <w:rPr>
                <w:color w:val="000000"/>
              </w:rPr>
            </w:pPr>
            <w:r>
              <w:rPr>
                <w:color w:val="000000"/>
              </w:rPr>
              <w:t>T</w:t>
            </w:r>
            <w:r w:rsidR="004A2625" w:rsidRPr="00C22BCD">
              <w:rPr>
                <w:color w:val="000000"/>
              </w:rPr>
              <w:t xml:space="preserve">he Board: </w:t>
            </w:r>
          </w:p>
          <w:p w14:paraId="316BA428" w14:textId="2F005819" w:rsidR="00584CFB" w:rsidRPr="00C22BCD" w:rsidRDefault="004A2625" w:rsidP="001A0991">
            <w:pPr>
              <w:pStyle w:val="NoSpacing"/>
              <w:numPr>
                <w:ilvl w:val="0"/>
                <w:numId w:val="16"/>
              </w:numPr>
            </w:pPr>
            <w:r w:rsidRPr="001A0991">
              <w:rPr>
                <w:rFonts w:cs="Calibri"/>
              </w:rPr>
              <w:t>Consider</w:t>
            </w:r>
            <w:r w:rsidR="00C22BCD" w:rsidRPr="001A0991">
              <w:rPr>
                <w:rFonts w:cs="Calibri"/>
              </w:rPr>
              <w:t>ed</w:t>
            </w:r>
            <w:r w:rsidRPr="00C22BCD">
              <w:rPr>
                <w:color w:val="000000"/>
              </w:rPr>
              <w:t xml:space="preserve"> the Chief Executives Update </w:t>
            </w:r>
          </w:p>
        </w:tc>
        <w:tc>
          <w:tcPr>
            <w:tcW w:w="1028" w:type="dxa"/>
            <w:gridSpan w:val="2"/>
          </w:tcPr>
          <w:p w14:paraId="2503FB45" w14:textId="77777777" w:rsidR="00067CE7" w:rsidRPr="00C22BCD" w:rsidRDefault="00067CE7" w:rsidP="00584CFB">
            <w:pPr>
              <w:pStyle w:val="NoSpacing"/>
            </w:pPr>
          </w:p>
          <w:p w14:paraId="24656FEB" w14:textId="77777777" w:rsidR="00962550" w:rsidRPr="00C22BCD" w:rsidRDefault="00962550" w:rsidP="00584CFB">
            <w:pPr>
              <w:pStyle w:val="NoSpacing"/>
            </w:pPr>
          </w:p>
          <w:p w14:paraId="639A34F4" w14:textId="77777777" w:rsidR="00962550" w:rsidRPr="00C22BCD" w:rsidRDefault="00962550" w:rsidP="00584CFB">
            <w:pPr>
              <w:pStyle w:val="NoSpacing"/>
            </w:pPr>
          </w:p>
          <w:p w14:paraId="2DFD0B8D" w14:textId="77777777" w:rsidR="00962550" w:rsidRPr="00C22BCD" w:rsidRDefault="00962550" w:rsidP="00584CFB">
            <w:pPr>
              <w:pStyle w:val="NoSpacing"/>
            </w:pPr>
          </w:p>
          <w:p w14:paraId="20318F1F" w14:textId="77777777" w:rsidR="00962550" w:rsidRPr="00C22BCD" w:rsidRDefault="00962550" w:rsidP="00584CFB">
            <w:pPr>
              <w:pStyle w:val="NoSpacing"/>
            </w:pPr>
          </w:p>
          <w:p w14:paraId="136F72E9" w14:textId="77777777" w:rsidR="00962550" w:rsidRPr="00C22BCD" w:rsidRDefault="00962550" w:rsidP="00584CFB">
            <w:pPr>
              <w:pStyle w:val="NoSpacing"/>
            </w:pPr>
          </w:p>
          <w:p w14:paraId="2679280B" w14:textId="77777777" w:rsidR="00962550" w:rsidRPr="00C22BCD" w:rsidRDefault="00962550" w:rsidP="00584CFB">
            <w:pPr>
              <w:pStyle w:val="NoSpacing"/>
            </w:pPr>
          </w:p>
          <w:p w14:paraId="15CE1019" w14:textId="77777777" w:rsidR="00962550" w:rsidRPr="00C22BCD" w:rsidRDefault="00962550" w:rsidP="00584CFB">
            <w:pPr>
              <w:pStyle w:val="NoSpacing"/>
            </w:pPr>
          </w:p>
          <w:p w14:paraId="13D88026" w14:textId="77777777" w:rsidR="00962550" w:rsidRPr="00C22BCD" w:rsidRDefault="00962550" w:rsidP="00584CFB">
            <w:pPr>
              <w:pStyle w:val="NoSpacing"/>
            </w:pPr>
          </w:p>
          <w:p w14:paraId="1640F857" w14:textId="77777777" w:rsidR="00962550" w:rsidRPr="00C22BCD" w:rsidRDefault="00962550" w:rsidP="00584CFB">
            <w:pPr>
              <w:pStyle w:val="NoSpacing"/>
            </w:pPr>
          </w:p>
          <w:p w14:paraId="40BCF3D5" w14:textId="77777777" w:rsidR="00962550" w:rsidRPr="00C22BCD" w:rsidRDefault="00962550" w:rsidP="00584CFB">
            <w:pPr>
              <w:pStyle w:val="NoSpacing"/>
            </w:pPr>
          </w:p>
          <w:p w14:paraId="3E982631" w14:textId="77777777" w:rsidR="00962550" w:rsidRPr="00C22BCD" w:rsidRDefault="00962550" w:rsidP="00584CFB">
            <w:pPr>
              <w:pStyle w:val="NoSpacing"/>
            </w:pPr>
          </w:p>
          <w:p w14:paraId="42CF5910" w14:textId="77777777" w:rsidR="00962550" w:rsidRPr="00C22BCD" w:rsidRDefault="00962550" w:rsidP="00584CFB">
            <w:pPr>
              <w:pStyle w:val="NoSpacing"/>
            </w:pPr>
          </w:p>
          <w:p w14:paraId="23469F72" w14:textId="77777777" w:rsidR="00962550" w:rsidRPr="00C22BCD" w:rsidRDefault="00962550" w:rsidP="00584CFB">
            <w:pPr>
              <w:pStyle w:val="NoSpacing"/>
            </w:pPr>
          </w:p>
          <w:p w14:paraId="5AC815FF" w14:textId="77777777" w:rsidR="00962550" w:rsidRPr="00C22BCD" w:rsidRDefault="00962550" w:rsidP="00584CFB">
            <w:pPr>
              <w:pStyle w:val="NoSpacing"/>
            </w:pPr>
          </w:p>
          <w:p w14:paraId="39B3F1DB" w14:textId="77777777" w:rsidR="00962550" w:rsidRPr="00C22BCD" w:rsidRDefault="00962550" w:rsidP="00584CFB">
            <w:pPr>
              <w:pStyle w:val="NoSpacing"/>
            </w:pPr>
          </w:p>
          <w:p w14:paraId="580E8045" w14:textId="77777777" w:rsidR="001A0991" w:rsidRDefault="001A0991" w:rsidP="00584CFB">
            <w:pPr>
              <w:pStyle w:val="NoSpacing"/>
            </w:pPr>
          </w:p>
          <w:p w14:paraId="3F6A1A3E" w14:textId="77777777" w:rsidR="001A0991" w:rsidRDefault="001A0991" w:rsidP="00584CFB">
            <w:pPr>
              <w:pStyle w:val="NoSpacing"/>
            </w:pPr>
          </w:p>
          <w:p w14:paraId="385BB1F4" w14:textId="3F5BCA3B" w:rsidR="00962550" w:rsidRPr="00C22BCD" w:rsidRDefault="00962550" w:rsidP="00584CFB">
            <w:pPr>
              <w:pStyle w:val="NoSpacing"/>
            </w:pPr>
            <w:r w:rsidRPr="00C22BCD">
              <w:t>All</w:t>
            </w:r>
          </w:p>
          <w:p w14:paraId="671732CF" w14:textId="77777777" w:rsidR="00962550" w:rsidRPr="00C22BCD" w:rsidRDefault="00962550" w:rsidP="00584CFB">
            <w:pPr>
              <w:pStyle w:val="NoSpacing"/>
            </w:pPr>
          </w:p>
          <w:p w14:paraId="5D58095F" w14:textId="77777777" w:rsidR="00962550" w:rsidRPr="00C22BCD" w:rsidRDefault="00962550" w:rsidP="00584CFB">
            <w:pPr>
              <w:pStyle w:val="NoSpacing"/>
            </w:pPr>
          </w:p>
          <w:p w14:paraId="7A639AEE" w14:textId="77777777" w:rsidR="00962550" w:rsidRPr="00C22BCD" w:rsidRDefault="00962550" w:rsidP="00584CFB">
            <w:pPr>
              <w:pStyle w:val="NoSpacing"/>
            </w:pPr>
          </w:p>
          <w:p w14:paraId="3C4953AE" w14:textId="237F30CE" w:rsidR="00962550" w:rsidRPr="00C22BCD" w:rsidRDefault="00962550" w:rsidP="00584CFB">
            <w:pPr>
              <w:pStyle w:val="NoSpacing"/>
            </w:pPr>
            <w:r w:rsidRPr="00C22BCD">
              <w:t>AE</w:t>
            </w:r>
          </w:p>
          <w:p w14:paraId="09856F12" w14:textId="77777777" w:rsidR="00962550" w:rsidRPr="00C22BCD" w:rsidRDefault="00962550" w:rsidP="00584CFB">
            <w:pPr>
              <w:pStyle w:val="NoSpacing"/>
            </w:pPr>
          </w:p>
        </w:tc>
      </w:tr>
      <w:tr w:rsidR="00067CE7" w:rsidRPr="00241AF6" w14:paraId="5F6C15E9" w14:textId="77777777" w:rsidTr="00584CFB">
        <w:tc>
          <w:tcPr>
            <w:tcW w:w="9243" w:type="dxa"/>
            <w:gridSpan w:val="8"/>
            <w:shd w:val="clear" w:color="auto" w:fill="D9D9D9"/>
          </w:tcPr>
          <w:p w14:paraId="2E53C9A9" w14:textId="2C98CBA5" w:rsidR="00067CE7" w:rsidRPr="0081520D" w:rsidRDefault="00067CE7" w:rsidP="00584CFB">
            <w:pPr>
              <w:rPr>
                <w:b/>
                <w:sz w:val="24"/>
                <w:szCs w:val="24"/>
              </w:rPr>
            </w:pPr>
            <w:r w:rsidRPr="0081520D">
              <w:rPr>
                <w:b/>
                <w:sz w:val="24"/>
                <w:szCs w:val="24"/>
              </w:rPr>
              <w:t xml:space="preserve">Item </w:t>
            </w:r>
            <w:r w:rsidR="00584CFB">
              <w:rPr>
                <w:b/>
                <w:sz w:val="24"/>
                <w:szCs w:val="24"/>
              </w:rPr>
              <w:t>6</w:t>
            </w:r>
            <w:r w:rsidRPr="0081520D">
              <w:rPr>
                <w:b/>
                <w:sz w:val="24"/>
                <w:szCs w:val="24"/>
              </w:rPr>
              <w:t>:</w:t>
            </w:r>
            <w:r w:rsidR="0027362C" w:rsidRPr="007C38EC">
              <w:rPr>
                <w:rFonts w:cs="Arial"/>
                <w:b/>
                <w:bCs/>
                <w:sz w:val="24"/>
                <w:szCs w:val="24"/>
              </w:rPr>
              <w:t xml:space="preserve"> </w:t>
            </w:r>
            <w:r w:rsidR="00584CFB">
              <w:rPr>
                <w:rFonts w:cs="Arial"/>
                <w:b/>
                <w:bCs/>
                <w:sz w:val="24"/>
                <w:szCs w:val="24"/>
              </w:rPr>
              <w:t xml:space="preserve">  </w:t>
            </w:r>
            <w:r w:rsidR="004A2625">
              <w:rPr>
                <w:rFonts w:cs="Arial"/>
                <w:b/>
                <w:sz w:val="24"/>
                <w:szCs w:val="24"/>
              </w:rPr>
              <w:t xml:space="preserve"> Q3 Performance Report</w:t>
            </w:r>
          </w:p>
        </w:tc>
      </w:tr>
      <w:tr w:rsidR="00067CE7" w:rsidRPr="00C22BCD" w14:paraId="4BE1745A" w14:textId="77777777" w:rsidTr="00584CFB">
        <w:tc>
          <w:tcPr>
            <w:tcW w:w="988" w:type="dxa"/>
            <w:gridSpan w:val="3"/>
          </w:tcPr>
          <w:p w14:paraId="50916A5A" w14:textId="51A18EEA" w:rsidR="00067CE7" w:rsidRPr="00C22BCD" w:rsidRDefault="00584CFB" w:rsidP="00584CFB">
            <w:pPr>
              <w:pStyle w:val="NoSpacing"/>
            </w:pPr>
            <w:r w:rsidRPr="00C22BCD">
              <w:lastRenderedPageBreak/>
              <w:t>6</w:t>
            </w:r>
          </w:p>
        </w:tc>
        <w:tc>
          <w:tcPr>
            <w:tcW w:w="7227" w:type="dxa"/>
            <w:gridSpan w:val="3"/>
          </w:tcPr>
          <w:p w14:paraId="08D003FF" w14:textId="66B8946E" w:rsidR="00067CE7" w:rsidRPr="00C22BCD" w:rsidRDefault="004A2625" w:rsidP="00584CFB">
            <w:pPr>
              <w:pStyle w:val="NoSpacing"/>
            </w:pPr>
            <w:r w:rsidRPr="00C22BCD">
              <w:rPr>
                <w:rFonts w:cs="Calibri"/>
              </w:rPr>
              <w:t>The D</w:t>
            </w:r>
            <w:r w:rsidR="001A0991">
              <w:rPr>
                <w:rFonts w:cs="Calibri"/>
              </w:rPr>
              <w:t>oR</w:t>
            </w:r>
            <w:r w:rsidRPr="00C22BCD">
              <w:rPr>
                <w:rFonts w:cs="Calibri"/>
              </w:rPr>
              <w:t xml:space="preserve"> presented the monthly performance report, highlighting</w:t>
            </w:r>
            <w:r w:rsidR="00C22BCD">
              <w:rPr>
                <w:rFonts w:cs="Calibri"/>
              </w:rPr>
              <w:t>:</w:t>
            </w:r>
          </w:p>
          <w:p w14:paraId="1AF7058D" w14:textId="77777777" w:rsidR="004A2625" w:rsidRPr="00C22BCD" w:rsidRDefault="004A2625" w:rsidP="00DC4FDF">
            <w:pPr>
              <w:pStyle w:val="NoSpacing"/>
              <w:numPr>
                <w:ilvl w:val="0"/>
                <w:numId w:val="20"/>
              </w:numPr>
            </w:pPr>
            <w:r w:rsidRPr="00C22BCD">
              <w:t>How well services have delivered over the quarter vs target</w:t>
            </w:r>
          </w:p>
          <w:p w14:paraId="119CB045" w14:textId="77777777" w:rsidR="004A2625" w:rsidRPr="00C22BCD" w:rsidRDefault="004A2625" w:rsidP="00DC4FDF">
            <w:pPr>
              <w:pStyle w:val="NoSpacing"/>
              <w:numPr>
                <w:ilvl w:val="0"/>
                <w:numId w:val="20"/>
              </w:numPr>
            </w:pPr>
            <w:r w:rsidRPr="00C22BCD">
              <w:t>Where further improvement is needed</w:t>
            </w:r>
          </w:p>
          <w:p w14:paraId="4322FA78" w14:textId="77777777" w:rsidR="004A2625" w:rsidRPr="00C22BCD" w:rsidRDefault="004A2625" w:rsidP="00DC4FDF">
            <w:pPr>
              <w:pStyle w:val="NoSpacing"/>
              <w:numPr>
                <w:ilvl w:val="0"/>
                <w:numId w:val="20"/>
              </w:numPr>
            </w:pPr>
            <w:r w:rsidRPr="00C22BCD">
              <w:t>Actions underway to strengthen performance in 2025/26</w:t>
            </w:r>
          </w:p>
          <w:p w14:paraId="44C4737E" w14:textId="77777777" w:rsidR="0027362C" w:rsidRPr="00C22BCD" w:rsidRDefault="0027362C" w:rsidP="00584CFB">
            <w:pPr>
              <w:pStyle w:val="NoSpacing"/>
            </w:pPr>
          </w:p>
          <w:p w14:paraId="1F240768" w14:textId="404CCC54" w:rsidR="00C22BCD" w:rsidRDefault="00DB5833" w:rsidP="00584CFB">
            <w:pPr>
              <w:pStyle w:val="NoSpacing"/>
            </w:pPr>
            <w:r w:rsidRPr="00C22BCD">
              <w:t xml:space="preserve">The Board </w:t>
            </w:r>
            <w:r w:rsidR="00FE4FA0" w:rsidRPr="00C22BCD">
              <w:t xml:space="preserve">Members noted </w:t>
            </w:r>
            <w:r w:rsidR="00F60E64">
              <w:t xml:space="preserve">significant </w:t>
            </w:r>
            <w:r w:rsidR="00FE4FA0" w:rsidRPr="00C22BCD">
              <w:t xml:space="preserve">improvements in satisfaction and operational metrics but discussed challenges in voids turnaround times. </w:t>
            </w:r>
            <w:r w:rsidRPr="00C22BCD">
              <w:t>The DoR</w:t>
            </w:r>
            <w:r w:rsidR="00FE4FA0" w:rsidRPr="00C22BCD">
              <w:t xml:space="preserve"> confirmed deep-dive analysis had been conducted, with collaborative action plans involving relevant teams and WNC. It was noted that performance may initially worsen before improving as long-standing voids were addressed. </w:t>
            </w:r>
          </w:p>
          <w:p w14:paraId="6C90BAAE" w14:textId="77777777" w:rsidR="00C22BCD" w:rsidRDefault="00C22BCD" w:rsidP="00584CFB">
            <w:pPr>
              <w:pStyle w:val="NoSpacing"/>
            </w:pPr>
          </w:p>
          <w:p w14:paraId="5C44614F" w14:textId="443CD3A8" w:rsidR="00DB5833" w:rsidRPr="00C22BCD" w:rsidRDefault="00FE4FA0" w:rsidP="00584CFB">
            <w:pPr>
              <w:pStyle w:val="NoSpacing"/>
            </w:pPr>
            <w:r w:rsidRPr="00C22BCD">
              <w:t xml:space="preserve">Discussions also covered complaints performance, the impact of staff bereavement and absence, and the need to support frontline staff during transition. </w:t>
            </w:r>
            <w:r w:rsidR="00DB5833" w:rsidRPr="00C22BCD">
              <w:t xml:space="preserve">The Board </w:t>
            </w:r>
            <w:r w:rsidRPr="00C22BCD">
              <w:t xml:space="preserve">Members raised concerns about </w:t>
            </w:r>
            <w:r w:rsidR="00DB5833" w:rsidRPr="00C22BCD">
              <w:t xml:space="preserve">the </w:t>
            </w:r>
            <w:r w:rsidRPr="00C22BCD">
              <w:t>Ombudsman</w:t>
            </w:r>
            <w:r w:rsidR="00DB5833" w:rsidRPr="00C22BCD">
              <w:t xml:space="preserve"> maladministration</w:t>
            </w:r>
            <w:r w:rsidRPr="00C22BCD">
              <w:t xml:space="preserve"> trends and</w:t>
            </w:r>
            <w:r w:rsidR="00DB5833" w:rsidRPr="00C22BCD">
              <w:t xml:space="preserve"> Tenants</w:t>
            </w:r>
            <w:r w:rsidRPr="00C22BCD">
              <w:t xml:space="preserve"> increasing expectations for compensation. </w:t>
            </w:r>
            <w:r w:rsidR="00DB5833" w:rsidRPr="00C22BCD">
              <w:t>The DoC advised of</w:t>
            </w:r>
            <w:r w:rsidRPr="00C22BCD">
              <w:t xml:space="preserve"> sector-wide patterns and increasing resident escalation. </w:t>
            </w:r>
          </w:p>
          <w:p w14:paraId="35B24814" w14:textId="77777777" w:rsidR="00DB5833" w:rsidRPr="00C22BCD" w:rsidRDefault="00DB5833" w:rsidP="00584CFB">
            <w:pPr>
              <w:pStyle w:val="NoSpacing"/>
            </w:pPr>
          </w:p>
          <w:p w14:paraId="681B7058" w14:textId="77777777" w:rsidR="00C22BCD" w:rsidRDefault="00FE4FA0" w:rsidP="00DB5833">
            <w:pPr>
              <w:pStyle w:val="NoSpacing"/>
            </w:pPr>
            <w:r w:rsidRPr="00C22BCD">
              <w:t>Staff engagement concerns arising from transition uncertainty were also discussed</w:t>
            </w:r>
            <w:r w:rsidR="00C22BCD">
              <w:t>.</w:t>
            </w:r>
          </w:p>
          <w:p w14:paraId="1CC944E9" w14:textId="77777777" w:rsidR="00F60E64" w:rsidRDefault="00F60E64" w:rsidP="00DB5833">
            <w:pPr>
              <w:pStyle w:val="NoSpacing"/>
            </w:pPr>
          </w:p>
          <w:p w14:paraId="4878A41D" w14:textId="542FA478" w:rsidR="005812ED" w:rsidRPr="00C22BCD" w:rsidRDefault="00E0175E" w:rsidP="00E0175E">
            <w:r>
              <w:t>A Board member referenced a comment they had made on Convene asking if there have been any negative changes in staff engagement since the approved transition. The DoR commented that a staff survey was carried out in November which raised a number of concerns and a further survey is being planned. He added that WNC colleagues are reaching out to NPH staff affected to provide assurance.</w:t>
            </w:r>
          </w:p>
          <w:p w14:paraId="1412BDA1" w14:textId="4CFADA1C" w:rsidR="004A2625" w:rsidRPr="00C22BCD" w:rsidRDefault="00C22BCD" w:rsidP="004A2625">
            <w:pPr>
              <w:rPr>
                <w:color w:val="000000"/>
              </w:rPr>
            </w:pPr>
            <w:r>
              <w:t>T</w:t>
            </w:r>
            <w:r w:rsidR="004A2625" w:rsidRPr="00C22BCD">
              <w:t xml:space="preserve">he Board: </w:t>
            </w:r>
          </w:p>
          <w:p w14:paraId="7BEF74BD" w14:textId="4E8E3CBD" w:rsidR="0027362C" w:rsidRPr="00C22BCD" w:rsidRDefault="004A2625" w:rsidP="006668F5">
            <w:pPr>
              <w:pStyle w:val="NoSpacing"/>
              <w:numPr>
                <w:ilvl w:val="0"/>
                <w:numId w:val="16"/>
              </w:numPr>
            </w:pPr>
            <w:r w:rsidRPr="00C22BCD">
              <w:rPr>
                <w:rFonts w:cs="Calibri"/>
              </w:rPr>
              <w:t>Scrutinise</w:t>
            </w:r>
            <w:r w:rsidR="00C22BCD">
              <w:rPr>
                <w:rFonts w:cs="Calibri"/>
              </w:rPr>
              <w:t>d</w:t>
            </w:r>
            <w:r w:rsidRPr="00C22BCD">
              <w:rPr>
                <w:rFonts w:cs="Calibri"/>
              </w:rPr>
              <w:t xml:space="preserve"> the performance for Q3 2025/26.</w:t>
            </w:r>
          </w:p>
          <w:p w14:paraId="75A9EF4F" w14:textId="2C5E70DF" w:rsidR="0027362C" w:rsidRPr="00C22BCD" w:rsidRDefault="0027362C" w:rsidP="00584CFB">
            <w:pPr>
              <w:pStyle w:val="NoSpacing"/>
              <w:rPr>
                <w:b/>
                <w:bCs/>
              </w:rPr>
            </w:pPr>
          </w:p>
        </w:tc>
        <w:tc>
          <w:tcPr>
            <w:tcW w:w="1028" w:type="dxa"/>
            <w:gridSpan w:val="2"/>
          </w:tcPr>
          <w:p w14:paraId="134EAA21" w14:textId="77777777" w:rsidR="00067CE7" w:rsidRPr="00C22BCD" w:rsidRDefault="00067CE7" w:rsidP="00584CFB">
            <w:pPr>
              <w:pStyle w:val="NoSpacing"/>
            </w:pPr>
          </w:p>
        </w:tc>
      </w:tr>
      <w:tr w:rsidR="0027362C" w:rsidRPr="00241AF6" w14:paraId="443E17BC" w14:textId="77777777" w:rsidTr="00584CFB">
        <w:tc>
          <w:tcPr>
            <w:tcW w:w="9243" w:type="dxa"/>
            <w:gridSpan w:val="8"/>
            <w:shd w:val="clear" w:color="auto" w:fill="D9D9D9"/>
          </w:tcPr>
          <w:p w14:paraId="29162149" w14:textId="77777777" w:rsidR="004A2625" w:rsidRDefault="0027362C" w:rsidP="004A2625">
            <w:pPr>
              <w:spacing w:after="0" w:line="240" w:lineRule="auto"/>
              <w:rPr>
                <w:rFonts w:cs="Arial"/>
                <w:b/>
                <w:color w:val="000000"/>
                <w:sz w:val="24"/>
                <w:szCs w:val="24"/>
              </w:rPr>
            </w:pPr>
            <w:r>
              <w:rPr>
                <w:b/>
                <w:sz w:val="24"/>
                <w:szCs w:val="24"/>
              </w:rPr>
              <w:t xml:space="preserve">Item </w:t>
            </w:r>
            <w:r w:rsidR="00584CFB">
              <w:rPr>
                <w:b/>
                <w:sz w:val="24"/>
                <w:szCs w:val="24"/>
              </w:rPr>
              <w:t>7</w:t>
            </w:r>
            <w:r>
              <w:rPr>
                <w:b/>
                <w:sz w:val="24"/>
                <w:szCs w:val="24"/>
              </w:rPr>
              <w:t xml:space="preserve">: </w:t>
            </w:r>
            <w:r w:rsidRPr="007C38EC">
              <w:rPr>
                <w:rFonts w:cs="Arial"/>
                <w:b/>
                <w:bCs/>
                <w:sz w:val="24"/>
                <w:szCs w:val="24"/>
              </w:rPr>
              <w:t xml:space="preserve"> </w:t>
            </w:r>
            <w:r w:rsidR="00584CFB">
              <w:rPr>
                <w:rFonts w:cs="Arial"/>
                <w:b/>
                <w:bCs/>
                <w:sz w:val="24"/>
                <w:szCs w:val="24"/>
              </w:rPr>
              <w:t xml:space="preserve">  </w:t>
            </w:r>
            <w:r w:rsidR="004A2625">
              <w:rPr>
                <w:rFonts w:cs="Arial"/>
                <w:b/>
                <w:sz w:val="24"/>
                <w:szCs w:val="24"/>
              </w:rPr>
              <w:t>2026/27 KPIs and Target Setting</w:t>
            </w:r>
          </w:p>
          <w:p w14:paraId="5475BF70" w14:textId="5107BFB7" w:rsidR="0027362C" w:rsidRPr="0081520D" w:rsidRDefault="0027362C" w:rsidP="00584CFB">
            <w:pPr>
              <w:rPr>
                <w:b/>
                <w:sz w:val="24"/>
                <w:szCs w:val="24"/>
              </w:rPr>
            </w:pPr>
          </w:p>
        </w:tc>
      </w:tr>
      <w:tr w:rsidR="0027362C" w:rsidRPr="00C22BCD" w14:paraId="723393E1" w14:textId="0BCF12FB" w:rsidTr="00584CFB">
        <w:tc>
          <w:tcPr>
            <w:tcW w:w="977" w:type="dxa"/>
            <w:gridSpan w:val="2"/>
          </w:tcPr>
          <w:p w14:paraId="0A40C789" w14:textId="400E5353" w:rsidR="0027362C" w:rsidRPr="00C22BCD" w:rsidRDefault="00584CFB" w:rsidP="00584CFB">
            <w:pPr>
              <w:spacing w:after="0"/>
              <w:rPr>
                <w:bCs/>
              </w:rPr>
            </w:pPr>
            <w:r w:rsidRPr="00C22BCD">
              <w:rPr>
                <w:bCs/>
              </w:rPr>
              <w:t>7</w:t>
            </w:r>
          </w:p>
        </w:tc>
        <w:tc>
          <w:tcPr>
            <w:tcW w:w="7262" w:type="dxa"/>
            <w:gridSpan w:val="5"/>
          </w:tcPr>
          <w:p w14:paraId="32E12860" w14:textId="5FDCE547" w:rsidR="00F60E64" w:rsidRDefault="004A2625" w:rsidP="001A0991">
            <w:pPr>
              <w:pStyle w:val="NoSpacing"/>
              <w:rPr>
                <w:bCs/>
              </w:rPr>
            </w:pPr>
            <w:r w:rsidRPr="00C22BCD">
              <w:rPr>
                <w:rFonts w:cs="Calibri"/>
              </w:rPr>
              <w:t>The D</w:t>
            </w:r>
            <w:r w:rsidR="001A0991">
              <w:rPr>
                <w:rFonts w:cs="Calibri"/>
              </w:rPr>
              <w:t>oR</w:t>
            </w:r>
            <w:r w:rsidRPr="00C22BCD">
              <w:rPr>
                <w:rFonts w:cs="Calibri"/>
              </w:rPr>
              <w:t xml:space="preserve"> presented the 2026/27 KPIs and target setting report, highlighting</w:t>
            </w:r>
            <w:r w:rsidR="0080121D">
              <w:rPr>
                <w:bCs/>
              </w:rPr>
              <w:t xml:space="preserve"> </w:t>
            </w:r>
            <w:r w:rsidR="00DD46DC" w:rsidRPr="00C22BCD">
              <w:rPr>
                <w:bCs/>
              </w:rPr>
              <w:t xml:space="preserve">the proposed Corporate KPIs and associated targets for the 2026/27 financial year and key information and activity that has taken place in their development. 2026/27 will be the second year of NPH Corporate Plan and provides an opportunity to build on the successes of </w:t>
            </w:r>
            <w:r w:rsidR="0080121D">
              <w:rPr>
                <w:bCs/>
              </w:rPr>
              <w:t>20</w:t>
            </w:r>
            <w:r w:rsidR="00DD46DC" w:rsidRPr="00C22BCD">
              <w:rPr>
                <w:bCs/>
              </w:rPr>
              <w:t>25/26 whilst being mindful of the challenging year ahead.</w:t>
            </w:r>
          </w:p>
          <w:p w14:paraId="26C18BBD" w14:textId="77777777" w:rsidR="001A0991" w:rsidRPr="001A0991" w:rsidRDefault="001A0991" w:rsidP="001A0991">
            <w:pPr>
              <w:pStyle w:val="NoSpacing"/>
              <w:rPr>
                <w:bCs/>
              </w:rPr>
            </w:pPr>
          </w:p>
          <w:p w14:paraId="44A1D665" w14:textId="374D7DD5" w:rsidR="00DD46DC" w:rsidRPr="00C22BCD" w:rsidRDefault="00DD46DC" w:rsidP="00AB56F9">
            <w:pPr>
              <w:spacing w:line="278" w:lineRule="auto"/>
              <w:rPr>
                <w:b/>
                <w:bCs/>
              </w:rPr>
            </w:pPr>
            <w:r w:rsidRPr="00C22BCD">
              <w:rPr>
                <w:b/>
                <w:bCs/>
              </w:rPr>
              <w:t>Next Steps</w:t>
            </w:r>
            <w:r w:rsidR="00AB56F9" w:rsidRPr="00C22BCD">
              <w:rPr>
                <w:b/>
                <w:bCs/>
              </w:rPr>
              <w:t xml:space="preserve"> - </w:t>
            </w:r>
            <w:r w:rsidRPr="00C22BCD">
              <w:t>Subject to Board approval of these metrics, the following is the proposed timeline of activities for the implementation of the PMF:</w:t>
            </w:r>
          </w:p>
          <w:p w14:paraId="0FAAACE6" w14:textId="77777777" w:rsidR="00DD46DC" w:rsidRPr="00C22BCD" w:rsidRDefault="00DD46DC" w:rsidP="00DC4FDF">
            <w:pPr>
              <w:pStyle w:val="ListParagraph"/>
              <w:numPr>
                <w:ilvl w:val="0"/>
                <w:numId w:val="3"/>
              </w:numPr>
              <w:spacing w:line="278" w:lineRule="auto"/>
              <w:ind w:left="759" w:hanging="425"/>
            </w:pPr>
            <w:r w:rsidRPr="00C22BCD">
              <w:lastRenderedPageBreak/>
              <w:t>Present proposed Corporate metrics and targets to WNC Assurance Meeting for formal WNC sign off</w:t>
            </w:r>
          </w:p>
          <w:p w14:paraId="21B79C9E" w14:textId="77777777" w:rsidR="00DD46DC" w:rsidRPr="00C22BCD" w:rsidRDefault="00DD46DC" w:rsidP="00DC4FDF">
            <w:pPr>
              <w:pStyle w:val="ListParagraph"/>
              <w:numPr>
                <w:ilvl w:val="0"/>
                <w:numId w:val="3"/>
              </w:numPr>
              <w:spacing w:line="278" w:lineRule="auto"/>
              <w:ind w:left="759" w:hanging="425"/>
            </w:pPr>
            <w:r w:rsidRPr="00C22BCD">
              <w:t>Agree 26/27 Corporate KPI Assurance programme</w:t>
            </w:r>
          </w:p>
          <w:p w14:paraId="1C00218F" w14:textId="77777777" w:rsidR="00DD46DC" w:rsidRPr="00C22BCD" w:rsidRDefault="00DD46DC" w:rsidP="00DC4FDF">
            <w:pPr>
              <w:pStyle w:val="ListParagraph"/>
              <w:numPr>
                <w:ilvl w:val="0"/>
                <w:numId w:val="3"/>
              </w:numPr>
              <w:spacing w:line="278" w:lineRule="auto"/>
              <w:ind w:left="759" w:hanging="425"/>
            </w:pPr>
            <w:r w:rsidRPr="00C22BCD">
              <w:t>Review and update all Corporate KPI definition sheets – ensuring all changes are captured, and all are validated</w:t>
            </w:r>
          </w:p>
          <w:p w14:paraId="4C141B5A" w14:textId="77777777" w:rsidR="00DD46DC" w:rsidRPr="00C22BCD" w:rsidRDefault="00DD46DC" w:rsidP="00DC4FDF">
            <w:pPr>
              <w:pStyle w:val="ListParagraph"/>
              <w:numPr>
                <w:ilvl w:val="0"/>
                <w:numId w:val="3"/>
              </w:numPr>
              <w:spacing w:line="278" w:lineRule="auto"/>
              <w:ind w:left="759" w:hanging="425"/>
            </w:pPr>
            <w:r w:rsidRPr="00C22BCD">
              <w:t>Update all performance dashboards with new RAG thresholds</w:t>
            </w:r>
          </w:p>
          <w:p w14:paraId="3A6A3293" w14:textId="77777777" w:rsidR="00DD46DC" w:rsidRPr="00C22BCD" w:rsidRDefault="00DD46DC" w:rsidP="00DC4FDF">
            <w:pPr>
              <w:pStyle w:val="ListParagraph"/>
              <w:numPr>
                <w:ilvl w:val="0"/>
                <w:numId w:val="3"/>
              </w:numPr>
              <w:spacing w:line="278" w:lineRule="auto"/>
              <w:ind w:left="759" w:hanging="425"/>
            </w:pPr>
            <w:r w:rsidRPr="00C22BCD">
              <w:t>Further discussion and sign off of Company and Directorate metrics – working with CLT and EMT as appropriate</w:t>
            </w:r>
          </w:p>
          <w:p w14:paraId="1722F3F1" w14:textId="77777777" w:rsidR="00DD46DC" w:rsidRPr="00C22BCD" w:rsidRDefault="00DD46DC" w:rsidP="00DC4FDF">
            <w:pPr>
              <w:pStyle w:val="ListParagraph"/>
              <w:numPr>
                <w:ilvl w:val="0"/>
                <w:numId w:val="3"/>
              </w:numPr>
              <w:spacing w:line="278" w:lineRule="auto"/>
              <w:ind w:left="759" w:hanging="425"/>
            </w:pPr>
            <w:r w:rsidRPr="00C22BCD">
              <w:t>Present proposed Company and Directorate metrics and targets to EMT for sign off</w:t>
            </w:r>
          </w:p>
          <w:p w14:paraId="769274F9" w14:textId="7E4904FE" w:rsidR="00AB56F9" w:rsidRPr="00C22BCD" w:rsidRDefault="00AB56F9" w:rsidP="00584CFB">
            <w:pPr>
              <w:spacing w:after="0"/>
              <w:rPr>
                <w:bCs/>
              </w:rPr>
            </w:pPr>
            <w:r w:rsidRPr="00C22BCD">
              <w:t xml:space="preserve">The Board reviewed proposed KPIs, with the DoR outlining </w:t>
            </w:r>
            <w:r w:rsidR="0080121D">
              <w:t xml:space="preserve">the </w:t>
            </w:r>
            <w:r w:rsidRPr="00C22BCD">
              <w:t>target-setting methodology, alignment with performance to date, and sector benchmarking. A Board Member emphasised the need for a fire door compliance metric</w:t>
            </w:r>
            <w:r w:rsidR="0080121D">
              <w:t xml:space="preserve"> which was accepted</w:t>
            </w:r>
            <w:r w:rsidRPr="00C22BCD">
              <w:t>. Clarification was provided regarding voids metrics, with officers signposting to detailed KPIs outside the TSM framework.</w:t>
            </w:r>
          </w:p>
          <w:p w14:paraId="342990B6" w14:textId="77777777" w:rsidR="00741622" w:rsidRPr="00C22BCD" w:rsidRDefault="00741622" w:rsidP="00584CFB">
            <w:pPr>
              <w:spacing w:after="0"/>
              <w:rPr>
                <w:bCs/>
              </w:rPr>
            </w:pPr>
          </w:p>
          <w:p w14:paraId="6C0F25A3" w14:textId="4A450752" w:rsidR="004A2625" w:rsidRDefault="008E0D6E" w:rsidP="004A2625">
            <w:pPr>
              <w:pStyle w:val="NoSpacing"/>
            </w:pPr>
            <w:r>
              <w:t>T</w:t>
            </w:r>
            <w:r w:rsidR="004A2625" w:rsidRPr="00C22BCD">
              <w:t xml:space="preserve">he Board: </w:t>
            </w:r>
          </w:p>
          <w:p w14:paraId="4E1BB59B" w14:textId="77777777" w:rsidR="001A0991" w:rsidRPr="00C22BCD" w:rsidRDefault="001A0991" w:rsidP="004A2625">
            <w:pPr>
              <w:pStyle w:val="NoSpacing"/>
            </w:pPr>
          </w:p>
          <w:p w14:paraId="1C23BF66" w14:textId="4AC159B4" w:rsidR="004A2625" w:rsidRPr="00C22BCD" w:rsidRDefault="004A2625" w:rsidP="007D53DD">
            <w:pPr>
              <w:pStyle w:val="NoSpacing"/>
              <w:numPr>
                <w:ilvl w:val="0"/>
                <w:numId w:val="16"/>
              </w:numPr>
            </w:pPr>
            <w:r w:rsidRPr="00C22BCD">
              <w:t>Approve</w:t>
            </w:r>
            <w:r w:rsidR="007D53DD">
              <w:t>d</w:t>
            </w:r>
            <w:r w:rsidRPr="00C22BCD">
              <w:rPr>
                <w:rFonts w:cs="Calibri"/>
              </w:rPr>
              <w:t xml:space="preserve"> the Corporate Metrics and Targets for 26/27 for recommendation to WNC</w:t>
            </w:r>
          </w:p>
          <w:p w14:paraId="0C99A794" w14:textId="769B381D" w:rsidR="00DD46DC" w:rsidRPr="00C22BCD" w:rsidRDefault="00DD46DC" w:rsidP="007D53DD">
            <w:pPr>
              <w:pStyle w:val="NoSpacing"/>
              <w:numPr>
                <w:ilvl w:val="0"/>
                <w:numId w:val="16"/>
              </w:numPr>
            </w:pPr>
            <w:r w:rsidRPr="00C22BCD">
              <w:t>Note</w:t>
            </w:r>
            <w:r w:rsidR="007D53DD">
              <w:t>d</w:t>
            </w:r>
            <w:r w:rsidRPr="00C22BCD">
              <w:t xml:space="preserve"> the current draft Company and Directorate measures for further development</w:t>
            </w:r>
          </w:p>
          <w:p w14:paraId="1B20CDC3" w14:textId="27529A16" w:rsidR="0027362C" w:rsidRPr="00C22BCD" w:rsidRDefault="0027362C" w:rsidP="00584CFB">
            <w:pPr>
              <w:spacing w:after="0"/>
              <w:rPr>
                <w:b/>
              </w:rPr>
            </w:pPr>
          </w:p>
        </w:tc>
        <w:tc>
          <w:tcPr>
            <w:tcW w:w="1004" w:type="dxa"/>
          </w:tcPr>
          <w:p w14:paraId="2217E29B" w14:textId="77777777" w:rsidR="0027362C" w:rsidRPr="00C22BCD" w:rsidRDefault="0027362C" w:rsidP="00584CFB">
            <w:pPr>
              <w:spacing w:after="0"/>
              <w:rPr>
                <w:b/>
              </w:rPr>
            </w:pPr>
          </w:p>
        </w:tc>
      </w:tr>
      <w:tr w:rsidR="00067CE7" w:rsidRPr="00241AF6" w14:paraId="6F49C980" w14:textId="77777777" w:rsidTr="00584CFB">
        <w:tc>
          <w:tcPr>
            <w:tcW w:w="9243" w:type="dxa"/>
            <w:gridSpan w:val="8"/>
            <w:shd w:val="clear" w:color="auto" w:fill="D9D9D9"/>
          </w:tcPr>
          <w:p w14:paraId="23397BA9" w14:textId="4FB7B265" w:rsidR="00067CE7" w:rsidRPr="0081520D" w:rsidRDefault="00067CE7" w:rsidP="00584CFB">
            <w:pPr>
              <w:rPr>
                <w:b/>
                <w:sz w:val="24"/>
                <w:szCs w:val="24"/>
              </w:rPr>
            </w:pPr>
            <w:r w:rsidRPr="0081520D">
              <w:rPr>
                <w:b/>
                <w:sz w:val="24"/>
                <w:szCs w:val="24"/>
              </w:rPr>
              <w:t xml:space="preserve">Item </w:t>
            </w:r>
            <w:r w:rsidR="00584CFB">
              <w:rPr>
                <w:b/>
                <w:sz w:val="24"/>
                <w:szCs w:val="24"/>
              </w:rPr>
              <w:t>8</w:t>
            </w:r>
            <w:r w:rsidRPr="0081520D">
              <w:rPr>
                <w:b/>
                <w:sz w:val="24"/>
                <w:szCs w:val="24"/>
              </w:rPr>
              <w:t>:</w:t>
            </w:r>
            <w:r w:rsidR="0027362C">
              <w:rPr>
                <w:b/>
                <w:sz w:val="24"/>
                <w:szCs w:val="24"/>
              </w:rPr>
              <w:t xml:space="preserve"> </w:t>
            </w:r>
            <w:r w:rsidR="00584CFB">
              <w:rPr>
                <w:b/>
                <w:sz w:val="24"/>
                <w:szCs w:val="24"/>
              </w:rPr>
              <w:t xml:space="preserve">   </w:t>
            </w:r>
            <w:r w:rsidR="00DD46DC">
              <w:rPr>
                <w:rFonts w:cs="Arial"/>
                <w:b/>
                <w:sz w:val="24"/>
                <w:szCs w:val="24"/>
              </w:rPr>
              <w:t xml:space="preserve"> Q3 Finance Report</w:t>
            </w:r>
          </w:p>
        </w:tc>
      </w:tr>
      <w:tr w:rsidR="00067CE7" w:rsidRPr="008E0D6E" w14:paraId="7FADCD4D" w14:textId="77777777" w:rsidTr="00584CFB">
        <w:tc>
          <w:tcPr>
            <w:tcW w:w="988" w:type="dxa"/>
            <w:gridSpan w:val="3"/>
          </w:tcPr>
          <w:p w14:paraId="7CC41BCC" w14:textId="3E37FC66" w:rsidR="00067CE7" w:rsidRPr="008E0D6E" w:rsidRDefault="00584CFB" w:rsidP="00584CFB">
            <w:pPr>
              <w:pStyle w:val="NoSpacing"/>
              <w:rPr>
                <w:color w:val="000000"/>
              </w:rPr>
            </w:pPr>
            <w:r w:rsidRPr="008E0D6E">
              <w:rPr>
                <w:color w:val="000000"/>
              </w:rPr>
              <w:t>8</w:t>
            </w:r>
          </w:p>
        </w:tc>
        <w:tc>
          <w:tcPr>
            <w:tcW w:w="7227" w:type="dxa"/>
            <w:gridSpan w:val="3"/>
          </w:tcPr>
          <w:p w14:paraId="6331E273" w14:textId="2B56D198" w:rsidR="0060663E" w:rsidRPr="008E0D6E" w:rsidRDefault="0060663E" w:rsidP="0060663E">
            <w:pPr>
              <w:pStyle w:val="NoSpacing"/>
            </w:pPr>
            <w:r w:rsidRPr="008E0D6E">
              <w:t xml:space="preserve">The report was presented by the </w:t>
            </w:r>
            <w:r w:rsidR="00D81278" w:rsidRPr="008E0D6E">
              <w:t>H</w:t>
            </w:r>
            <w:r w:rsidR="001A0991">
              <w:t>oF</w:t>
            </w:r>
            <w:r w:rsidRPr="008E0D6E">
              <w:t xml:space="preserve"> and taken as read, with key highlights noted</w:t>
            </w:r>
            <w:r w:rsidR="00F60E64">
              <w:t>.</w:t>
            </w:r>
          </w:p>
          <w:p w14:paraId="6F33F350" w14:textId="77777777" w:rsidR="00F60E64" w:rsidRDefault="00F60E64" w:rsidP="0060663E">
            <w:pPr>
              <w:pStyle w:val="NoSpacing"/>
            </w:pPr>
          </w:p>
          <w:p w14:paraId="4EBEDEB2" w14:textId="2793E138" w:rsidR="0060663E" w:rsidRPr="008E0D6E" w:rsidRDefault="0060663E" w:rsidP="0060663E">
            <w:pPr>
              <w:pStyle w:val="NoSpacing"/>
            </w:pPr>
            <w:r w:rsidRPr="008E0D6E">
              <w:t xml:space="preserve">The total budget for 2025/26 is £72.4m, which included £36.1m Capital Budget. </w:t>
            </w:r>
          </w:p>
          <w:p w14:paraId="65B4BABC" w14:textId="77777777" w:rsidR="00F60E64" w:rsidRDefault="00F60E64" w:rsidP="0060663E">
            <w:pPr>
              <w:pStyle w:val="NoSpacing"/>
            </w:pPr>
          </w:p>
          <w:p w14:paraId="360B2392" w14:textId="63EBBCBE" w:rsidR="0060663E" w:rsidRPr="008E0D6E" w:rsidRDefault="0060663E" w:rsidP="0060663E">
            <w:pPr>
              <w:pStyle w:val="NoSpacing"/>
            </w:pPr>
            <w:r w:rsidRPr="008E0D6E">
              <w:t xml:space="preserve">At the end of December, the HRA revenue spend is £1.8m below budget (Quarter 2: £1m below budget). Vacancy drag and timing issues remain in relation to cleaning, grounds </w:t>
            </w:r>
            <w:r w:rsidR="0080121D">
              <w:t xml:space="preserve">maintenance </w:t>
            </w:r>
            <w:r w:rsidRPr="008E0D6E">
              <w:t xml:space="preserve">and utilities that also contribute to this underspend. </w:t>
            </w:r>
          </w:p>
          <w:p w14:paraId="5D80E77F" w14:textId="77777777" w:rsidR="00F60E64" w:rsidRDefault="00F60E64" w:rsidP="0060663E">
            <w:pPr>
              <w:pStyle w:val="NoSpacing"/>
            </w:pPr>
          </w:p>
          <w:p w14:paraId="621D607F" w14:textId="5BE78FB5" w:rsidR="0060663E" w:rsidRDefault="0060663E" w:rsidP="0060663E">
            <w:pPr>
              <w:pStyle w:val="NoSpacing"/>
            </w:pPr>
            <w:r w:rsidRPr="008E0D6E">
              <w:t xml:space="preserve">The full year forecast is now £35.2k (Quarter 2: £35.5). An FTE review </w:t>
            </w:r>
            <w:r w:rsidR="0080121D">
              <w:t xml:space="preserve">has been </w:t>
            </w:r>
            <w:r w:rsidRPr="008E0D6E">
              <w:t xml:space="preserve">completed and the YTD underspend released; the rest remains close to budget due to a range of factors. These include increased costs from damp, mould and condensation (including disrepair and </w:t>
            </w:r>
            <w:r w:rsidR="0080121D">
              <w:t xml:space="preserve">work to address </w:t>
            </w:r>
            <w:r w:rsidRPr="008E0D6E">
              <w:t xml:space="preserve">Awaab’s law). There are new costs from Oasis House (£147k) </w:t>
            </w:r>
            <w:r w:rsidR="0080121D">
              <w:t xml:space="preserve">with </w:t>
            </w:r>
            <w:r w:rsidRPr="008E0D6E">
              <w:t xml:space="preserve">no budget allocated and these impact the year end forecast. </w:t>
            </w:r>
          </w:p>
          <w:p w14:paraId="23278773" w14:textId="77777777" w:rsidR="00F60E64" w:rsidRPr="008E0D6E" w:rsidRDefault="00F60E64" w:rsidP="0060663E">
            <w:pPr>
              <w:pStyle w:val="NoSpacing"/>
            </w:pPr>
          </w:p>
          <w:p w14:paraId="0C39CD2F" w14:textId="524558B5" w:rsidR="0060663E" w:rsidRDefault="0060663E" w:rsidP="0060663E">
            <w:pPr>
              <w:pStyle w:val="NoSpacing"/>
            </w:pPr>
            <w:r w:rsidRPr="008E0D6E">
              <w:t xml:space="preserve">Capital spend is in line with profile (Quarter 2: behind profile by £4.2m). The capital budget is projected to out-turn at the full budget position except for </w:t>
            </w:r>
            <w:r w:rsidRPr="008E0D6E">
              <w:lastRenderedPageBreak/>
              <w:t xml:space="preserve">new build. The ICT released a small amount which will not be required this financial year. </w:t>
            </w:r>
          </w:p>
          <w:p w14:paraId="71CDA780" w14:textId="77777777" w:rsidR="00F60E64" w:rsidRPr="008E0D6E" w:rsidRDefault="00F60E64" w:rsidP="0060663E">
            <w:pPr>
              <w:pStyle w:val="NoSpacing"/>
            </w:pPr>
          </w:p>
          <w:p w14:paraId="170C3B9B" w14:textId="04B3F014" w:rsidR="0060663E" w:rsidRPr="008E0D6E" w:rsidRDefault="0060663E" w:rsidP="007B3A3F">
            <w:pPr>
              <w:pStyle w:val="NoSpacing"/>
            </w:pPr>
            <w:r w:rsidRPr="008E0D6E">
              <w:t>The General Fund revenue budget is £68k behind profile (Quarter 2: £64.2k below profiled spend) at the end of December. This is due to Brackley not yet incurring any true costs and the Travellers si</w:t>
            </w:r>
            <w:r w:rsidR="004F1452" w:rsidRPr="008E0D6E">
              <w:t>t</w:t>
            </w:r>
            <w:r w:rsidRPr="008E0D6E">
              <w:t xml:space="preserve">e repairs not being required. The full year forecast has been updated to reflect the Travellers site repairs not being required. </w:t>
            </w:r>
          </w:p>
          <w:p w14:paraId="4E5570C6" w14:textId="77777777" w:rsidR="004B2054" w:rsidRPr="008E0D6E" w:rsidRDefault="004B2054" w:rsidP="00584CFB">
            <w:pPr>
              <w:pStyle w:val="NoSpacing"/>
            </w:pPr>
          </w:p>
          <w:p w14:paraId="765D846B" w14:textId="1BDCC2A8" w:rsidR="004B2054" w:rsidRDefault="004B2054" w:rsidP="004B2054">
            <w:pPr>
              <w:pStyle w:val="NoSpacing"/>
            </w:pPr>
            <w:r w:rsidRPr="004B2054">
              <w:t xml:space="preserve">A Board Member </w:t>
            </w:r>
            <w:r>
              <w:t>referenced a query they had raised on Convene around</w:t>
            </w:r>
            <w:r w:rsidRPr="004B2054">
              <w:t xml:space="preserve"> the likelihood of completing the capital programme with just over six weeks remaining in the financial year.</w:t>
            </w:r>
          </w:p>
          <w:p w14:paraId="026CDB16" w14:textId="77777777" w:rsidR="00F60E64" w:rsidRPr="004B2054" w:rsidRDefault="00F60E64" w:rsidP="004B2054">
            <w:pPr>
              <w:pStyle w:val="NoSpacing"/>
            </w:pPr>
          </w:p>
          <w:p w14:paraId="7CADE864" w14:textId="0B9D81EF" w:rsidR="004B2054" w:rsidRPr="004B2054" w:rsidRDefault="004B2054" w:rsidP="004B2054">
            <w:pPr>
              <w:pStyle w:val="NoSpacing"/>
            </w:pPr>
            <w:r w:rsidRPr="004B2054">
              <w:t>The D</w:t>
            </w:r>
            <w:r>
              <w:t>oPDC</w:t>
            </w:r>
            <w:r w:rsidRPr="004B2054">
              <w:t xml:space="preserve"> </w:t>
            </w:r>
            <w:r>
              <w:t>confirmed</w:t>
            </w:r>
            <w:r w:rsidRPr="004B2054">
              <w:t xml:space="preserve"> that the Asset Investment Programme year</w:t>
            </w:r>
            <w:r w:rsidRPr="004B2054">
              <w:noBreakHyphen/>
              <w:t>end position had been reviewed, re</w:t>
            </w:r>
            <w:r w:rsidRPr="004B2054">
              <w:noBreakHyphen/>
              <w:t>profiled and updated. Some underspends were attributed to delays in forecast updates, including £1.8m of unrequired FRA budget and a £1.6m deferral to 2026/27 relating to delayed grant funding for commercial heating via WNC. While the programme remains ambitious, confidence was expressed that both delivery and budget expenditure will be achieved, subject to weather conditions given the volume of roofing works underway.</w:t>
            </w:r>
          </w:p>
          <w:p w14:paraId="799E1ABC" w14:textId="77777777" w:rsidR="00AB56F9" w:rsidRPr="008E0D6E" w:rsidRDefault="00AB56F9" w:rsidP="00584CFB">
            <w:pPr>
              <w:pStyle w:val="NoSpacing"/>
            </w:pPr>
          </w:p>
          <w:p w14:paraId="5E580D26" w14:textId="6AF0A845" w:rsidR="00AB56F9" w:rsidRDefault="00AB56F9" w:rsidP="00584CFB">
            <w:pPr>
              <w:pStyle w:val="NoSpacing"/>
            </w:pPr>
            <w:r w:rsidRPr="008E0D6E">
              <w:t>A Board member queried utilities billing delays, and officers confirmed corrected forecasts were incorporated</w:t>
            </w:r>
            <w:r w:rsidR="007D53DD">
              <w:t>.</w:t>
            </w:r>
          </w:p>
          <w:p w14:paraId="1D5E0CD3" w14:textId="77777777" w:rsidR="00F60E64" w:rsidRPr="008E0D6E" w:rsidRDefault="00F60E64" w:rsidP="00584CFB">
            <w:pPr>
              <w:pStyle w:val="NoSpacing"/>
            </w:pPr>
          </w:p>
          <w:p w14:paraId="2AE0B81A" w14:textId="489EA12E" w:rsidR="00AB56F9" w:rsidRPr="008E0D6E" w:rsidRDefault="00AB56F9" w:rsidP="00AB56F9">
            <w:r w:rsidRPr="008E0D6E">
              <w:t>The Board Members also sought assurance on expected year-end underspend levels and capital programme delivery, receiving confirmation of a circa £7m capital reprofile.</w:t>
            </w:r>
          </w:p>
          <w:p w14:paraId="36E79E19" w14:textId="0E68F8B4" w:rsidR="0060663E" w:rsidRPr="008E0D6E" w:rsidRDefault="007D53DD" w:rsidP="0060663E">
            <w:pPr>
              <w:rPr>
                <w:color w:val="000000"/>
              </w:rPr>
            </w:pPr>
            <w:r>
              <w:rPr>
                <w:color w:val="000000"/>
              </w:rPr>
              <w:t>T</w:t>
            </w:r>
            <w:r w:rsidR="0060663E" w:rsidRPr="008E0D6E">
              <w:rPr>
                <w:color w:val="000000"/>
              </w:rPr>
              <w:t xml:space="preserve">he Board: </w:t>
            </w:r>
          </w:p>
          <w:p w14:paraId="6EA8E8D1" w14:textId="2ADDFB91" w:rsidR="0060663E" w:rsidRPr="008E0D6E" w:rsidRDefault="00F60E64" w:rsidP="007D53DD">
            <w:pPr>
              <w:pStyle w:val="NoSpacing"/>
              <w:numPr>
                <w:ilvl w:val="0"/>
                <w:numId w:val="16"/>
              </w:numPr>
              <w:rPr>
                <w:color w:val="000000"/>
              </w:rPr>
            </w:pPr>
            <w:r>
              <w:t>S</w:t>
            </w:r>
            <w:r w:rsidR="0060663E" w:rsidRPr="008E0D6E">
              <w:rPr>
                <w:color w:val="000000"/>
              </w:rPr>
              <w:t>crutinise</w:t>
            </w:r>
            <w:r w:rsidR="007D53DD">
              <w:rPr>
                <w:color w:val="000000"/>
              </w:rPr>
              <w:t>d</w:t>
            </w:r>
            <w:r w:rsidR="0060663E" w:rsidRPr="008E0D6E">
              <w:rPr>
                <w:color w:val="000000"/>
              </w:rPr>
              <w:t xml:space="preserve"> the information presented.</w:t>
            </w:r>
          </w:p>
          <w:p w14:paraId="60F87B8E" w14:textId="2108B009" w:rsidR="0060663E" w:rsidRPr="008E0D6E" w:rsidRDefault="0060663E" w:rsidP="007D53DD">
            <w:pPr>
              <w:pStyle w:val="NoSpacing"/>
              <w:numPr>
                <w:ilvl w:val="0"/>
                <w:numId w:val="16"/>
              </w:numPr>
            </w:pPr>
            <w:r w:rsidRPr="008E0D6E">
              <w:rPr>
                <w:color w:val="000000"/>
              </w:rPr>
              <w:t>Discuss</w:t>
            </w:r>
            <w:r w:rsidR="007D53DD">
              <w:rPr>
                <w:color w:val="000000"/>
              </w:rPr>
              <w:t>ed</w:t>
            </w:r>
            <w:r w:rsidRPr="008E0D6E">
              <w:rPr>
                <w:color w:val="000000"/>
              </w:rPr>
              <w:t xml:space="preserve"> and note</w:t>
            </w:r>
            <w:r w:rsidR="0002439D">
              <w:rPr>
                <w:color w:val="000000"/>
              </w:rPr>
              <w:t>d</w:t>
            </w:r>
            <w:r w:rsidRPr="008E0D6E">
              <w:rPr>
                <w:color w:val="000000"/>
              </w:rPr>
              <w:t xml:space="preserve"> emerging themes including cost pressures</w:t>
            </w:r>
          </w:p>
          <w:p w14:paraId="0A6B5B52" w14:textId="4C6A9F28" w:rsidR="0027362C" w:rsidRPr="008E0D6E" w:rsidRDefault="0027362C" w:rsidP="00584CFB">
            <w:pPr>
              <w:pStyle w:val="NoSpacing"/>
              <w:rPr>
                <w:b/>
                <w:bCs/>
              </w:rPr>
            </w:pPr>
          </w:p>
        </w:tc>
        <w:tc>
          <w:tcPr>
            <w:tcW w:w="1028" w:type="dxa"/>
            <w:gridSpan w:val="2"/>
          </w:tcPr>
          <w:p w14:paraId="539B1628" w14:textId="77777777" w:rsidR="00067CE7" w:rsidRPr="008E0D6E" w:rsidRDefault="00067CE7" w:rsidP="00584CFB">
            <w:pPr>
              <w:pStyle w:val="NoSpacing"/>
            </w:pPr>
          </w:p>
        </w:tc>
      </w:tr>
      <w:tr w:rsidR="00067CE7" w:rsidRPr="00241AF6" w14:paraId="4F272C5A" w14:textId="77777777" w:rsidTr="00584CFB">
        <w:tc>
          <w:tcPr>
            <w:tcW w:w="9243" w:type="dxa"/>
            <w:gridSpan w:val="8"/>
            <w:shd w:val="clear" w:color="auto" w:fill="D9D9D9"/>
          </w:tcPr>
          <w:p w14:paraId="5941DF7A" w14:textId="1884CC77" w:rsidR="00067CE7" w:rsidRPr="0081520D" w:rsidRDefault="00067CE7" w:rsidP="00584CFB">
            <w:pPr>
              <w:rPr>
                <w:b/>
                <w:sz w:val="24"/>
                <w:szCs w:val="24"/>
              </w:rPr>
            </w:pPr>
            <w:r w:rsidRPr="0081520D">
              <w:rPr>
                <w:b/>
                <w:sz w:val="24"/>
                <w:szCs w:val="24"/>
              </w:rPr>
              <w:t xml:space="preserve">Item </w:t>
            </w:r>
            <w:r w:rsidR="00584CFB">
              <w:rPr>
                <w:b/>
                <w:sz w:val="24"/>
                <w:szCs w:val="24"/>
              </w:rPr>
              <w:t>9</w:t>
            </w:r>
            <w:r w:rsidRPr="0081520D">
              <w:rPr>
                <w:b/>
                <w:sz w:val="24"/>
                <w:szCs w:val="24"/>
              </w:rPr>
              <w:t>:</w:t>
            </w:r>
            <w:r w:rsidR="00584CFB">
              <w:rPr>
                <w:b/>
                <w:sz w:val="24"/>
                <w:szCs w:val="24"/>
              </w:rPr>
              <w:t xml:space="preserve">    </w:t>
            </w:r>
            <w:r w:rsidR="00D526A9" w:rsidRPr="00D14677">
              <w:rPr>
                <w:rFonts w:cs="Arial"/>
                <w:b/>
                <w:sz w:val="24"/>
                <w:szCs w:val="24"/>
              </w:rPr>
              <w:t xml:space="preserve"> Annual Budget and Financial Plan</w:t>
            </w:r>
          </w:p>
        </w:tc>
      </w:tr>
      <w:tr w:rsidR="00067CE7" w:rsidRPr="007D53DD" w14:paraId="0D2DE799" w14:textId="77777777" w:rsidTr="00584CFB">
        <w:tc>
          <w:tcPr>
            <w:tcW w:w="988" w:type="dxa"/>
            <w:gridSpan w:val="3"/>
          </w:tcPr>
          <w:p w14:paraId="2CDD5B27" w14:textId="1CB55C45" w:rsidR="00067CE7" w:rsidRPr="007D53DD" w:rsidRDefault="00584CFB" w:rsidP="00584CFB">
            <w:pPr>
              <w:pStyle w:val="NoSpacing"/>
            </w:pPr>
            <w:r w:rsidRPr="007D53DD">
              <w:t>9</w:t>
            </w:r>
          </w:p>
        </w:tc>
        <w:tc>
          <w:tcPr>
            <w:tcW w:w="7227" w:type="dxa"/>
            <w:gridSpan w:val="3"/>
          </w:tcPr>
          <w:p w14:paraId="5E40B89A" w14:textId="24E4717C" w:rsidR="00440C4C" w:rsidRPr="007D53DD" w:rsidRDefault="00440C4C" w:rsidP="00440C4C">
            <w:pPr>
              <w:pStyle w:val="NoSpacing"/>
            </w:pPr>
            <w:r w:rsidRPr="007D53DD">
              <w:t xml:space="preserve">The report was presented by the </w:t>
            </w:r>
            <w:r w:rsidR="00012657" w:rsidRPr="007D53DD">
              <w:t>H</w:t>
            </w:r>
            <w:r w:rsidR="001A0991">
              <w:t>oF</w:t>
            </w:r>
            <w:r w:rsidR="00012657" w:rsidRPr="007D53DD">
              <w:t xml:space="preserve"> </w:t>
            </w:r>
            <w:r w:rsidRPr="007D53DD">
              <w:t>and taken as read, with key highlights noted:</w:t>
            </w:r>
          </w:p>
          <w:p w14:paraId="068334C7" w14:textId="77777777" w:rsidR="00F60E64" w:rsidRDefault="00F60E64" w:rsidP="00584CFB">
            <w:pPr>
              <w:pStyle w:val="NoSpacing"/>
            </w:pPr>
          </w:p>
          <w:p w14:paraId="624C87DB" w14:textId="138593C9" w:rsidR="00067CE7" w:rsidRDefault="00440C4C" w:rsidP="00584CFB">
            <w:pPr>
              <w:pStyle w:val="NoSpacing"/>
            </w:pPr>
            <w:r w:rsidRPr="007D53DD">
              <w:t>Following a period of intensive budget planning inclusive of discussion between WNC and NPH in relation to the provision of services to Council tenants, WNC have published the Housing Revenue Account (HRA) budget and are currently consulting on a proposed 4.8% rent increase for 2025-2026 in line with</w:t>
            </w:r>
            <w:r w:rsidR="00EB0ED8">
              <w:t xml:space="preserve"> the</w:t>
            </w:r>
            <w:r w:rsidRPr="007D53DD">
              <w:t xml:space="preserve"> Consumer Price Index (CPI) in September 2025 plus 1% as confirmed by Government.  </w:t>
            </w:r>
          </w:p>
          <w:p w14:paraId="4D8FC3E6" w14:textId="77777777" w:rsidR="007D53DD" w:rsidRPr="007D53DD" w:rsidRDefault="007D53DD" w:rsidP="00584CFB">
            <w:pPr>
              <w:pStyle w:val="NoSpacing"/>
            </w:pPr>
          </w:p>
          <w:p w14:paraId="2D654439" w14:textId="4C9CB10B" w:rsidR="00F82B0F" w:rsidRPr="007D53DD" w:rsidRDefault="00440C4C" w:rsidP="00584CFB">
            <w:pPr>
              <w:pStyle w:val="NoSpacing"/>
            </w:pPr>
            <w:r w:rsidRPr="007D53DD">
              <w:t xml:space="preserve">The council has </w:t>
            </w:r>
            <w:r w:rsidR="00465F9B" w:rsidRPr="007D53DD">
              <w:t>confirmed that</w:t>
            </w:r>
            <w:r w:rsidRPr="007D53DD">
              <w:t xml:space="preserve"> following the transfer of some of NPH’s corporate services to WNC in April 2026 there will be no deduction from the </w:t>
            </w:r>
            <w:r w:rsidRPr="007D53DD">
              <w:lastRenderedPageBreak/>
              <w:t>NPH management fee as a result of transferring services for the 2026/27 financial year. Instead, a recharge for the cost of the services will be agreed ahead of the financial year. A deduction will be made from the NPH management fee between draft and final budget as a result of the company no longer being required to deliver the management of the Ecton Lane Traveller site from April 2026 onwards.</w:t>
            </w:r>
          </w:p>
          <w:p w14:paraId="3EDDADEA" w14:textId="77777777" w:rsidR="00F82B0F" w:rsidRPr="007D53DD" w:rsidRDefault="00F82B0F" w:rsidP="00584CFB">
            <w:pPr>
              <w:pStyle w:val="NoSpacing"/>
            </w:pPr>
          </w:p>
          <w:p w14:paraId="063AE71A" w14:textId="77777777" w:rsidR="007D53DD" w:rsidRDefault="00465F9B" w:rsidP="00465F9B">
            <w:r w:rsidRPr="007D53DD">
              <w:t xml:space="preserve">The Board members discussion covered the HRA’s financial resilience, the impact of transferring services to the Council, rent-setting assumptions, and efficiency requirements. The Board approved the draft budget and noted implications for medium-term financial planning. </w:t>
            </w:r>
          </w:p>
          <w:p w14:paraId="0A5A52AE" w14:textId="1F5B222D" w:rsidR="00465F9B" w:rsidRPr="007D53DD" w:rsidRDefault="00465F9B" w:rsidP="00465F9B">
            <w:r w:rsidRPr="007D53DD">
              <w:t>A Board member raised concerns about future net-zero obligations and long-term compliance costs, with the DoPDC confirming these had been raised with WNC.</w:t>
            </w:r>
          </w:p>
          <w:p w14:paraId="0C23E5D3" w14:textId="01BF239C" w:rsidR="0017067D" w:rsidRPr="007D53DD" w:rsidRDefault="00465F9B" w:rsidP="006155BD">
            <w:r w:rsidRPr="007D53DD">
              <w:t>The Chair expressed her thanks to the HoF, noting her sincere appreciation for the high quality of the explanations and reports provided. She recorded her deep gratitude for excellent work.</w:t>
            </w:r>
          </w:p>
          <w:p w14:paraId="2C43D68C" w14:textId="76CA5239" w:rsidR="00440C4C" w:rsidRPr="007D53DD" w:rsidRDefault="007D53DD" w:rsidP="00440C4C">
            <w:pPr>
              <w:pStyle w:val="NoSpacing"/>
            </w:pPr>
            <w:r w:rsidRPr="007D53DD">
              <w:t>T</w:t>
            </w:r>
            <w:r w:rsidR="00440C4C" w:rsidRPr="007D53DD">
              <w:t xml:space="preserve">he Board: </w:t>
            </w:r>
          </w:p>
          <w:p w14:paraId="2D303D80" w14:textId="77777777" w:rsidR="00F82B0F" w:rsidRPr="007D53DD" w:rsidRDefault="00F82B0F" w:rsidP="00584CFB">
            <w:pPr>
              <w:pStyle w:val="NoSpacing"/>
            </w:pPr>
          </w:p>
          <w:p w14:paraId="6DFF5028" w14:textId="208BD5E5" w:rsidR="00440C4C" w:rsidRPr="007D53DD" w:rsidRDefault="00440C4C" w:rsidP="007D53DD">
            <w:pPr>
              <w:pStyle w:val="NoSpacing"/>
              <w:numPr>
                <w:ilvl w:val="0"/>
                <w:numId w:val="16"/>
              </w:numPr>
            </w:pPr>
            <w:r w:rsidRPr="007D53DD">
              <w:rPr>
                <w:color w:val="000000"/>
              </w:rPr>
              <w:t>Approve</w:t>
            </w:r>
            <w:r w:rsidR="0002439D">
              <w:rPr>
                <w:color w:val="000000"/>
              </w:rPr>
              <w:t>d</w:t>
            </w:r>
            <w:r w:rsidRPr="007D53DD">
              <w:rPr>
                <w:color w:val="000000"/>
              </w:rPr>
              <w:t xml:space="preserve"> the draft budget position in relation to the proposed 2026-2027 management fee and Housing Revenue Account medium-term financial plan</w:t>
            </w:r>
          </w:p>
          <w:p w14:paraId="42FEB492" w14:textId="0643C122" w:rsidR="00F82B0F" w:rsidRPr="007D53DD" w:rsidRDefault="00F82B0F" w:rsidP="00584CFB">
            <w:pPr>
              <w:pStyle w:val="NoSpacing"/>
              <w:rPr>
                <w:b/>
                <w:bCs/>
              </w:rPr>
            </w:pPr>
          </w:p>
        </w:tc>
        <w:tc>
          <w:tcPr>
            <w:tcW w:w="1028" w:type="dxa"/>
            <w:gridSpan w:val="2"/>
          </w:tcPr>
          <w:p w14:paraId="406210DE" w14:textId="77777777" w:rsidR="00067CE7" w:rsidRPr="007D53DD" w:rsidRDefault="00067CE7" w:rsidP="00584CFB">
            <w:pPr>
              <w:pStyle w:val="NoSpacing"/>
            </w:pPr>
          </w:p>
        </w:tc>
      </w:tr>
      <w:tr w:rsidR="00067CE7" w:rsidRPr="00241AF6" w14:paraId="56EC0814" w14:textId="77777777" w:rsidTr="00584CFB">
        <w:tc>
          <w:tcPr>
            <w:tcW w:w="9243" w:type="dxa"/>
            <w:gridSpan w:val="8"/>
            <w:shd w:val="clear" w:color="auto" w:fill="D9D9D9"/>
          </w:tcPr>
          <w:p w14:paraId="351A8EFB" w14:textId="695537FA" w:rsidR="00067CE7" w:rsidRPr="0081520D" w:rsidRDefault="00067CE7" w:rsidP="00584CFB">
            <w:pPr>
              <w:rPr>
                <w:b/>
                <w:sz w:val="24"/>
                <w:szCs w:val="24"/>
              </w:rPr>
            </w:pPr>
            <w:r w:rsidRPr="0081520D">
              <w:rPr>
                <w:b/>
                <w:sz w:val="24"/>
                <w:szCs w:val="24"/>
              </w:rPr>
              <w:t xml:space="preserve">Item </w:t>
            </w:r>
            <w:r w:rsidR="00584CFB">
              <w:rPr>
                <w:b/>
                <w:sz w:val="24"/>
                <w:szCs w:val="24"/>
              </w:rPr>
              <w:t>10</w:t>
            </w:r>
            <w:r w:rsidRPr="0081520D">
              <w:rPr>
                <w:b/>
                <w:sz w:val="24"/>
                <w:szCs w:val="24"/>
              </w:rPr>
              <w:t>:</w:t>
            </w:r>
            <w:r w:rsidR="00584CFB">
              <w:rPr>
                <w:b/>
                <w:sz w:val="24"/>
                <w:szCs w:val="24"/>
              </w:rPr>
              <w:t xml:space="preserve">  </w:t>
            </w:r>
            <w:r w:rsidR="000644AB">
              <w:rPr>
                <w:rFonts w:cs="Arial"/>
                <w:b/>
                <w:sz w:val="24"/>
                <w:szCs w:val="24"/>
              </w:rPr>
              <w:t xml:space="preserve"> Q3 Customer Feedback Report</w:t>
            </w:r>
          </w:p>
        </w:tc>
      </w:tr>
      <w:tr w:rsidR="00067CE7" w:rsidRPr="000644AB" w14:paraId="0E90D43F" w14:textId="77777777" w:rsidTr="00584CFB">
        <w:tc>
          <w:tcPr>
            <w:tcW w:w="988" w:type="dxa"/>
            <w:gridSpan w:val="3"/>
          </w:tcPr>
          <w:p w14:paraId="37FEB963" w14:textId="398ADCD6" w:rsidR="00067CE7" w:rsidRPr="000644AB" w:rsidRDefault="00584CFB" w:rsidP="00584CFB">
            <w:pPr>
              <w:pStyle w:val="NoSpacing"/>
            </w:pPr>
            <w:r w:rsidRPr="000644AB">
              <w:t>10</w:t>
            </w:r>
          </w:p>
        </w:tc>
        <w:tc>
          <w:tcPr>
            <w:tcW w:w="7227" w:type="dxa"/>
            <w:gridSpan w:val="3"/>
          </w:tcPr>
          <w:p w14:paraId="0698E33E" w14:textId="49D4C549" w:rsidR="006155BD" w:rsidRDefault="006155BD" w:rsidP="006155BD">
            <w:pPr>
              <w:pStyle w:val="NoSpacing"/>
            </w:pPr>
            <w:r w:rsidRPr="0060663E">
              <w:t xml:space="preserve">The report was presented by the </w:t>
            </w:r>
            <w:r>
              <w:t>D</w:t>
            </w:r>
            <w:r w:rsidR="00725071">
              <w:t xml:space="preserve">oC </w:t>
            </w:r>
            <w:r>
              <w:t>and H</w:t>
            </w:r>
            <w:r w:rsidR="00725071">
              <w:t>o</w:t>
            </w:r>
            <w:r>
              <w:t xml:space="preserve">CE </w:t>
            </w:r>
            <w:r w:rsidRPr="0060663E">
              <w:t>and taken as read, with key highlights noted:</w:t>
            </w:r>
          </w:p>
          <w:p w14:paraId="74A56C60" w14:textId="77777777" w:rsidR="00F60E64" w:rsidRPr="0060663E" w:rsidRDefault="00F60E64" w:rsidP="006155BD">
            <w:pPr>
              <w:pStyle w:val="NoSpacing"/>
            </w:pPr>
          </w:p>
          <w:p w14:paraId="72E47C26" w14:textId="2AAD44FE" w:rsidR="000644AB" w:rsidRPr="000644AB" w:rsidRDefault="000644AB" w:rsidP="000644AB">
            <w:pPr>
              <w:pStyle w:val="NoSpacing"/>
              <w:rPr>
                <w:rFonts w:cs="Calibri"/>
              </w:rPr>
            </w:pPr>
            <w:r w:rsidRPr="000644AB">
              <w:rPr>
                <w:rFonts w:cs="Calibri"/>
              </w:rPr>
              <w:t>Following analysis of customer feedback collated in 2024-25</w:t>
            </w:r>
            <w:r w:rsidR="0002439D">
              <w:rPr>
                <w:rFonts w:cs="Calibri"/>
              </w:rPr>
              <w:t>,</w:t>
            </w:r>
            <w:r w:rsidRPr="000644AB">
              <w:rPr>
                <w:rFonts w:cs="Calibri"/>
              </w:rPr>
              <w:t xml:space="preserve"> priority areas of focus to improve resident satisfaction and service experience were:</w:t>
            </w:r>
            <w:r w:rsidRPr="000644AB">
              <w:rPr>
                <w:rFonts w:cs="Calibri"/>
              </w:rPr>
              <w:tab/>
            </w:r>
          </w:p>
          <w:p w14:paraId="7314A900" w14:textId="77777777" w:rsidR="000644AB" w:rsidRPr="000644AB" w:rsidRDefault="000644AB" w:rsidP="000644AB">
            <w:pPr>
              <w:pStyle w:val="NoSpacing"/>
              <w:rPr>
                <w:rFonts w:cs="Calibri"/>
              </w:rPr>
            </w:pPr>
          </w:p>
          <w:p w14:paraId="427BB757" w14:textId="77777777" w:rsidR="000644AB" w:rsidRPr="001A0991" w:rsidRDefault="000644AB" w:rsidP="001A0991">
            <w:pPr>
              <w:pStyle w:val="NoSpacing"/>
              <w:numPr>
                <w:ilvl w:val="0"/>
                <w:numId w:val="8"/>
              </w:numPr>
              <w:rPr>
                <w:rFonts w:cs="Calibri"/>
                <w:bCs/>
              </w:rPr>
            </w:pPr>
            <w:r w:rsidRPr="001A0991">
              <w:rPr>
                <w:rFonts w:cs="Calibri"/>
                <w:bCs/>
              </w:rPr>
              <w:t>Providing well maintained, safe homes and a timely repair service</w:t>
            </w:r>
          </w:p>
          <w:p w14:paraId="1F355010" w14:textId="77777777" w:rsidR="000644AB" w:rsidRPr="001A0991" w:rsidRDefault="000644AB" w:rsidP="001A0991">
            <w:pPr>
              <w:pStyle w:val="NoSpacing"/>
              <w:numPr>
                <w:ilvl w:val="0"/>
                <w:numId w:val="8"/>
              </w:numPr>
              <w:rPr>
                <w:rFonts w:cs="Calibri"/>
                <w:bCs/>
              </w:rPr>
            </w:pPr>
            <w:r w:rsidRPr="001A0991">
              <w:rPr>
                <w:rFonts w:cs="Calibri"/>
                <w:bCs/>
              </w:rPr>
              <w:t>Improving communication and customer contact (being easy to deal with)</w:t>
            </w:r>
          </w:p>
          <w:p w14:paraId="5B4D25EA" w14:textId="77777777" w:rsidR="000644AB" w:rsidRPr="001A0991" w:rsidRDefault="000644AB" w:rsidP="001A0991">
            <w:pPr>
              <w:pStyle w:val="NoSpacing"/>
              <w:numPr>
                <w:ilvl w:val="0"/>
                <w:numId w:val="8"/>
              </w:numPr>
              <w:rPr>
                <w:rFonts w:cs="Calibri"/>
                <w:bCs/>
              </w:rPr>
            </w:pPr>
            <w:r w:rsidRPr="001A0991">
              <w:rPr>
                <w:rFonts w:cs="Calibri"/>
                <w:bCs/>
              </w:rPr>
              <w:t>Communal areas and neighbourhood working</w:t>
            </w:r>
          </w:p>
          <w:p w14:paraId="5ABAFCE5" w14:textId="675DD3DA" w:rsidR="000644AB" w:rsidRDefault="000644AB" w:rsidP="001A0991">
            <w:pPr>
              <w:pStyle w:val="NoSpacing"/>
              <w:numPr>
                <w:ilvl w:val="0"/>
                <w:numId w:val="8"/>
              </w:numPr>
              <w:rPr>
                <w:rFonts w:cs="Calibri"/>
                <w:bCs/>
              </w:rPr>
            </w:pPr>
            <w:r w:rsidRPr="001A0991">
              <w:rPr>
                <w:rFonts w:cs="Calibri"/>
                <w:bCs/>
              </w:rPr>
              <w:t>Complaint handling</w:t>
            </w:r>
          </w:p>
          <w:p w14:paraId="66E82B21" w14:textId="77777777" w:rsidR="001A0991" w:rsidRPr="001A0991" w:rsidRDefault="001A0991" w:rsidP="001A0991">
            <w:pPr>
              <w:pStyle w:val="NoSpacing"/>
              <w:ind w:left="720"/>
              <w:rPr>
                <w:rFonts w:cs="Calibri"/>
                <w:bCs/>
              </w:rPr>
            </w:pPr>
          </w:p>
          <w:p w14:paraId="5284C0EC" w14:textId="77777777" w:rsidR="000644AB" w:rsidRPr="000644AB" w:rsidRDefault="000644AB" w:rsidP="000644AB">
            <w:pPr>
              <w:pStyle w:val="NoSpacing"/>
              <w:rPr>
                <w:rFonts w:cs="Calibri"/>
              </w:rPr>
            </w:pPr>
            <w:r w:rsidRPr="000644AB">
              <w:rPr>
                <w:rFonts w:cs="Calibri"/>
              </w:rPr>
              <w:t>The use of customer feedback and insight reviews to drive continuous improvements in service delivery is tracked through the Tenant Satisfaction Measures (TSM) scores. In the latest TSM survey results, 10 of the 12 TSMs continue to improve against the 2024/25 performance, most notably in overall satisfaction, communal areas and overall repairs service and timeliness.</w:t>
            </w:r>
          </w:p>
          <w:p w14:paraId="49E9EE82" w14:textId="77777777" w:rsidR="000644AB" w:rsidRPr="000644AB" w:rsidRDefault="000644AB" w:rsidP="000644AB">
            <w:pPr>
              <w:pStyle w:val="NoSpacing"/>
              <w:rPr>
                <w:rFonts w:cs="Calibri"/>
              </w:rPr>
            </w:pPr>
          </w:p>
          <w:p w14:paraId="3EAED10F" w14:textId="54862C86" w:rsidR="006155BD" w:rsidRPr="006155BD" w:rsidRDefault="000644AB" w:rsidP="006155BD">
            <w:pPr>
              <w:pStyle w:val="NoSpacing"/>
              <w:rPr>
                <w:rFonts w:cs="Calibri"/>
              </w:rPr>
            </w:pPr>
            <w:r w:rsidRPr="000644AB">
              <w:rPr>
                <w:rFonts w:cs="Calibri"/>
              </w:rPr>
              <w:lastRenderedPageBreak/>
              <w:t>The Customer Feedback Report Q3 supporting document provide</w:t>
            </w:r>
            <w:r w:rsidR="0002439D">
              <w:rPr>
                <w:rFonts w:cs="Calibri"/>
              </w:rPr>
              <w:t>d</w:t>
            </w:r>
            <w:r w:rsidRPr="000644AB">
              <w:rPr>
                <w:rFonts w:cs="Calibri"/>
              </w:rPr>
              <w:t xml:space="preserve"> a detailed overview of feedback from multiple channels in </w:t>
            </w:r>
            <w:r w:rsidR="0002439D">
              <w:rPr>
                <w:rFonts w:cs="Calibri"/>
              </w:rPr>
              <w:t>the quarter</w:t>
            </w:r>
            <w:r w:rsidRPr="000644AB">
              <w:rPr>
                <w:rFonts w:cs="Calibri"/>
              </w:rPr>
              <w:t xml:space="preserve"> and the actions being taken across the four priority areas and all TSMs. Board </w:t>
            </w:r>
            <w:r w:rsidR="006155BD">
              <w:rPr>
                <w:rFonts w:cs="Calibri"/>
              </w:rPr>
              <w:t xml:space="preserve">was </w:t>
            </w:r>
            <w:r w:rsidRPr="000644AB">
              <w:rPr>
                <w:rFonts w:cs="Calibri"/>
              </w:rPr>
              <w:t>also provided with the supporting document for Q3 complaints setting out performance, trends and lessons learned from cases.</w:t>
            </w:r>
          </w:p>
          <w:p w14:paraId="6FEF1DFD" w14:textId="7012E141" w:rsidR="00541329" w:rsidRPr="000644AB" w:rsidRDefault="006155BD" w:rsidP="000644AB">
            <w:pPr>
              <w:rPr>
                <w:b/>
                <w:bCs/>
                <w:color w:val="000000"/>
              </w:rPr>
            </w:pPr>
            <w:r>
              <w:t>The Board members welcomed clear action tracking and insight, noting improvements in repairs satisfaction and communication. Several members commended the “You Said, We Did” approach</w:t>
            </w:r>
          </w:p>
          <w:p w14:paraId="2D4C768F" w14:textId="4EC1F135" w:rsidR="000644AB" w:rsidRPr="000644AB" w:rsidRDefault="0002439D" w:rsidP="000644AB">
            <w:pPr>
              <w:rPr>
                <w:color w:val="000000"/>
              </w:rPr>
            </w:pPr>
            <w:r>
              <w:rPr>
                <w:color w:val="000000"/>
              </w:rPr>
              <w:t>The</w:t>
            </w:r>
            <w:r w:rsidR="000644AB" w:rsidRPr="000644AB">
              <w:rPr>
                <w:color w:val="000000"/>
              </w:rPr>
              <w:t xml:space="preserve"> Board: </w:t>
            </w:r>
          </w:p>
          <w:p w14:paraId="696D20D7" w14:textId="22DD3278" w:rsidR="000644AB" w:rsidRPr="000644AB" w:rsidRDefault="000644AB" w:rsidP="0002439D">
            <w:pPr>
              <w:pStyle w:val="NoSpacing"/>
              <w:numPr>
                <w:ilvl w:val="0"/>
                <w:numId w:val="16"/>
              </w:numPr>
            </w:pPr>
            <w:r w:rsidRPr="000644AB">
              <w:t>Consider</w:t>
            </w:r>
            <w:r w:rsidR="0002439D">
              <w:t>ed</w:t>
            </w:r>
            <w:r w:rsidRPr="000644AB">
              <w:t xml:space="preserve"> the content of the report and approve</w:t>
            </w:r>
            <w:r w:rsidR="0002439D">
              <w:t>d</w:t>
            </w:r>
            <w:r w:rsidRPr="000644AB">
              <w:t xml:space="preserve"> the actions being taken in priority improvement areas based on customer feedback detailed in supporting document</w:t>
            </w:r>
            <w:r w:rsidR="0002439D">
              <w:t>ation</w:t>
            </w:r>
            <w:r w:rsidRPr="000644AB">
              <w:t>.</w:t>
            </w:r>
          </w:p>
          <w:p w14:paraId="421AE7CD" w14:textId="26B1BC9E" w:rsidR="00F82B0F" w:rsidRPr="000644AB" w:rsidRDefault="00F82B0F" w:rsidP="00584CFB">
            <w:pPr>
              <w:pStyle w:val="NoSpacing"/>
              <w:rPr>
                <w:b/>
                <w:bCs/>
              </w:rPr>
            </w:pPr>
          </w:p>
        </w:tc>
        <w:tc>
          <w:tcPr>
            <w:tcW w:w="1028" w:type="dxa"/>
            <w:gridSpan w:val="2"/>
          </w:tcPr>
          <w:p w14:paraId="1D3B7F56" w14:textId="77777777" w:rsidR="00067CE7" w:rsidRPr="000644AB" w:rsidRDefault="00067CE7" w:rsidP="00584CFB">
            <w:pPr>
              <w:pStyle w:val="NoSpacing"/>
            </w:pPr>
          </w:p>
        </w:tc>
      </w:tr>
      <w:tr w:rsidR="00067CE7" w:rsidRPr="00241AF6" w14:paraId="4439A3A3" w14:textId="77777777" w:rsidTr="00584CFB">
        <w:tc>
          <w:tcPr>
            <w:tcW w:w="9243" w:type="dxa"/>
            <w:gridSpan w:val="8"/>
            <w:shd w:val="clear" w:color="auto" w:fill="D9D9D9"/>
          </w:tcPr>
          <w:p w14:paraId="652B2BBB" w14:textId="38A49647" w:rsidR="00067CE7" w:rsidRPr="0081520D" w:rsidRDefault="00067CE7" w:rsidP="00584CFB">
            <w:pPr>
              <w:rPr>
                <w:b/>
                <w:sz w:val="24"/>
                <w:szCs w:val="24"/>
              </w:rPr>
            </w:pPr>
            <w:r w:rsidRPr="0081520D">
              <w:rPr>
                <w:b/>
                <w:sz w:val="24"/>
                <w:szCs w:val="24"/>
              </w:rPr>
              <w:t xml:space="preserve">Item </w:t>
            </w:r>
            <w:r w:rsidR="00584CFB">
              <w:rPr>
                <w:b/>
                <w:sz w:val="24"/>
                <w:szCs w:val="24"/>
              </w:rPr>
              <w:t>11</w:t>
            </w:r>
            <w:r w:rsidRPr="0081520D">
              <w:rPr>
                <w:b/>
                <w:sz w:val="24"/>
                <w:szCs w:val="24"/>
              </w:rPr>
              <w:t>:</w:t>
            </w:r>
            <w:r w:rsidR="00584CFB">
              <w:rPr>
                <w:rFonts w:cs="Arial"/>
                <w:b/>
                <w:bCs/>
                <w:sz w:val="24"/>
                <w:szCs w:val="24"/>
              </w:rPr>
              <w:t xml:space="preserve">  </w:t>
            </w:r>
            <w:r w:rsidR="000644AB">
              <w:rPr>
                <w:rFonts w:cs="Arial"/>
                <w:b/>
                <w:sz w:val="24"/>
                <w:szCs w:val="24"/>
              </w:rPr>
              <w:t xml:space="preserve"> </w:t>
            </w:r>
            <w:r w:rsidR="00400353" w:rsidRPr="00DE73D7">
              <w:rPr>
                <w:rFonts w:cs="Arial"/>
                <w:b/>
                <w:sz w:val="24"/>
                <w:szCs w:val="24"/>
              </w:rPr>
              <w:t>Understanding and Responding to Diverse Customer Needs</w:t>
            </w:r>
          </w:p>
        </w:tc>
      </w:tr>
      <w:tr w:rsidR="00067CE7" w:rsidRPr="0002439D" w14:paraId="7E2741C2" w14:textId="77777777" w:rsidTr="00584CFB">
        <w:tc>
          <w:tcPr>
            <w:tcW w:w="988" w:type="dxa"/>
            <w:gridSpan w:val="3"/>
          </w:tcPr>
          <w:p w14:paraId="724783F8" w14:textId="266986C8" w:rsidR="00067CE7" w:rsidRPr="0002439D" w:rsidRDefault="00584CFB" w:rsidP="00584CFB">
            <w:pPr>
              <w:pStyle w:val="NoSpacing"/>
            </w:pPr>
            <w:r w:rsidRPr="0002439D">
              <w:t>11</w:t>
            </w:r>
          </w:p>
        </w:tc>
        <w:tc>
          <w:tcPr>
            <w:tcW w:w="7227" w:type="dxa"/>
            <w:gridSpan w:val="3"/>
          </w:tcPr>
          <w:p w14:paraId="616D03B3" w14:textId="3AACCEED" w:rsidR="001F4856" w:rsidRDefault="001F4856" w:rsidP="001F4856">
            <w:pPr>
              <w:pStyle w:val="NoSpacing"/>
            </w:pPr>
            <w:r w:rsidRPr="0002439D">
              <w:t>The report was presented by the DoC and HoCE and taken as read, with key highlights noted:</w:t>
            </w:r>
          </w:p>
          <w:p w14:paraId="2B5F3313" w14:textId="77777777" w:rsidR="00F60E64" w:rsidRPr="0002439D" w:rsidRDefault="00F60E64" w:rsidP="001F4856">
            <w:pPr>
              <w:pStyle w:val="NoSpacing"/>
            </w:pPr>
          </w:p>
          <w:p w14:paraId="09C33B60" w14:textId="47ED24AD" w:rsidR="00400353" w:rsidRPr="0002439D" w:rsidRDefault="005E6325" w:rsidP="00CE5846">
            <w:pPr>
              <w:pStyle w:val="NoSpacing"/>
            </w:pPr>
            <w:r>
              <w:t>T</w:t>
            </w:r>
            <w:r w:rsidR="00400353" w:rsidRPr="0002439D">
              <w:t>he ‘Understanding and Responding to Diverse Customer Needs’ plan provide</w:t>
            </w:r>
            <w:r w:rsidR="001F4856" w:rsidRPr="0002439D">
              <w:t>s</w:t>
            </w:r>
            <w:r w:rsidR="00400353" w:rsidRPr="0002439D">
              <w:t xml:space="preserve"> Board with the assurance that understanding and responding to diverse resident needs is embedded in </w:t>
            </w:r>
            <w:r w:rsidR="0002439D">
              <w:t xml:space="preserve">the company </w:t>
            </w:r>
            <w:r w:rsidR="00400353" w:rsidRPr="0002439D">
              <w:t>by actively improving how we use customer household data to tailor and deliver services.</w:t>
            </w:r>
          </w:p>
          <w:p w14:paraId="2BB968D8" w14:textId="77777777" w:rsidR="0027250C" w:rsidRPr="0002439D" w:rsidRDefault="0027250C" w:rsidP="0027250C">
            <w:pPr>
              <w:pStyle w:val="NoSpacing"/>
            </w:pPr>
          </w:p>
          <w:p w14:paraId="02F8021C" w14:textId="77777777" w:rsidR="0027250C" w:rsidRPr="0002439D" w:rsidRDefault="0027250C" w:rsidP="0027250C">
            <w:pPr>
              <w:pStyle w:val="NoSpacing"/>
            </w:pPr>
            <w:r w:rsidRPr="0002439D">
              <w:t xml:space="preserve">The purpose of the plan is to support NPH to deliver excellent services to our residents by having clear plans and frameworks in place to ensure NPH “Knows our customers” and provides services that are </w:t>
            </w:r>
            <w:bookmarkStart w:id="2" w:name="_Hlk220930319"/>
            <w:r w:rsidRPr="0002439D">
              <w:t>tailored to the diverse needs of our residents and delivering fair, respectful and equitable services</w:t>
            </w:r>
            <w:bookmarkEnd w:id="2"/>
            <w:r w:rsidRPr="0002439D">
              <w:t xml:space="preserve">. </w:t>
            </w:r>
          </w:p>
          <w:p w14:paraId="31278B6D" w14:textId="77777777" w:rsidR="001F4856" w:rsidRPr="0002439D" w:rsidRDefault="001F4856" w:rsidP="0027250C">
            <w:pPr>
              <w:spacing w:after="0" w:line="240" w:lineRule="auto"/>
              <w:jc w:val="both"/>
              <w:rPr>
                <w:rFonts w:asciiTheme="minorHAnsi" w:eastAsiaTheme="minorHAnsi" w:hAnsiTheme="minorHAnsi" w:cstheme="minorBidi"/>
              </w:rPr>
            </w:pPr>
          </w:p>
          <w:p w14:paraId="1F842CC7" w14:textId="6FA4EA0B" w:rsidR="008B56E2" w:rsidRPr="0002439D" w:rsidRDefault="001F4856" w:rsidP="001F4856">
            <w:pPr>
              <w:rPr>
                <w:rFonts w:asciiTheme="minorHAnsi" w:eastAsiaTheme="minorHAnsi" w:hAnsiTheme="minorHAnsi" w:cstheme="minorBidi"/>
              </w:rPr>
            </w:pPr>
            <w:r w:rsidRPr="0002439D">
              <w:t>The Board Members discussed gaps relating to accessibility needs, such as dyslexia, and alignment with WNC</w:t>
            </w:r>
            <w:r w:rsidR="005E6325">
              <w:t>s</w:t>
            </w:r>
            <w:r w:rsidRPr="0002439D">
              <w:t xml:space="preserve"> EDI policy. C</w:t>
            </w:r>
            <w:r w:rsidRPr="0002439D">
              <w:rPr>
                <w:rFonts w:asciiTheme="minorHAnsi" w:eastAsiaTheme="minorHAnsi" w:hAnsiTheme="minorHAnsi" w:cstheme="minorBidi"/>
              </w:rPr>
              <w:t xml:space="preserve">reating a </w:t>
            </w:r>
            <w:r w:rsidR="008B56E2" w:rsidRPr="0002439D">
              <w:rPr>
                <w:rFonts w:asciiTheme="minorHAnsi" w:eastAsiaTheme="minorHAnsi" w:hAnsiTheme="minorHAnsi" w:cstheme="minorBidi"/>
              </w:rPr>
              <w:t xml:space="preserve">priority services register </w:t>
            </w:r>
            <w:r w:rsidRPr="0002439D">
              <w:rPr>
                <w:rFonts w:asciiTheme="minorHAnsi" w:eastAsiaTheme="minorHAnsi" w:hAnsiTheme="minorHAnsi" w:cstheme="minorBidi"/>
              </w:rPr>
              <w:t>was discussed as a couple of the focus groups had mentioned this for the future. Currently</w:t>
            </w:r>
            <w:r w:rsidR="0002439D">
              <w:rPr>
                <w:rFonts w:asciiTheme="minorHAnsi" w:eastAsiaTheme="minorHAnsi" w:hAnsiTheme="minorHAnsi" w:cstheme="minorBidi"/>
              </w:rPr>
              <w:t>,</w:t>
            </w:r>
            <w:r w:rsidRPr="0002439D">
              <w:rPr>
                <w:rFonts w:asciiTheme="minorHAnsi" w:eastAsiaTheme="minorHAnsi" w:hAnsiTheme="minorHAnsi" w:cstheme="minorBidi"/>
              </w:rPr>
              <w:t xml:space="preserve"> </w:t>
            </w:r>
            <w:r w:rsidR="008B56E2" w:rsidRPr="0002439D">
              <w:rPr>
                <w:rFonts w:asciiTheme="minorHAnsi" w:eastAsiaTheme="minorHAnsi" w:hAnsiTheme="minorHAnsi" w:cstheme="minorBidi"/>
              </w:rPr>
              <w:t xml:space="preserve">vulnerabilities and needs are being tracked </w:t>
            </w:r>
            <w:r w:rsidRPr="0002439D">
              <w:rPr>
                <w:rFonts w:asciiTheme="minorHAnsi" w:eastAsiaTheme="minorHAnsi" w:hAnsiTheme="minorHAnsi" w:cstheme="minorBidi"/>
              </w:rPr>
              <w:t xml:space="preserve">by the Housing and Customer Excellence teams </w:t>
            </w:r>
            <w:r w:rsidR="008B56E2" w:rsidRPr="0002439D">
              <w:rPr>
                <w:rFonts w:asciiTheme="minorHAnsi" w:eastAsiaTheme="minorHAnsi" w:hAnsiTheme="minorHAnsi" w:cstheme="minorBidi"/>
              </w:rPr>
              <w:t xml:space="preserve">but not specifically on a </w:t>
            </w:r>
            <w:r w:rsidRPr="0002439D">
              <w:rPr>
                <w:rFonts w:asciiTheme="minorHAnsi" w:eastAsiaTheme="minorHAnsi" w:hAnsiTheme="minorHAnsi" w:cstheme="minorBidi"/>
              </w:rPr>
              <w:t xml:space="preserve">central </w:t>
            </w:r>
            <w:r w:rsidR="008B56E2" w:rsidRPr="0002439D">
              <w:rPr>
                <w:rFonts w:asciiTheme="minorHAnsi" w:eastAsiaTheme="minorHAnsi" w:hAnsiTheme="minorHAnsi" w:cstheme="minorBidi"/>
              </w:rPr>
              <w:t>register</w:t>
            </w:r>
            <w:r w:rsidRPr="0002439D">
              <w:rPr>
                <w:rFonts w:asciiTheme="minorHAnsi" w:eastAsiaTheme="minorHAnsi" w:hAnsiTheme="minorHAnsi" w:cstheme="minorBidi"/>
              </w:rPr>
              <w:t>.</w:t>
            </w:r>
          </w:p>
          <w:p w14:paraId="7B89826E" w14:textId="1AC678F1" w:rsidR="00400353" w:rsidRPr="0002439D" w:rsidRDefault="0002439D" w:rsidP="00400353">
            <w:r>
              <w:t>T</w:t>
            </w:r>
            <w:r w:rsidR="00400353" w:rsidRPr="0002439D">
              <w:t>h</w:t>
            </w:r>
            <w:r>
              <w:t>e</w:t>
            </w:r>
            <w:r w:rsidR="00400353" w:rsidRPr="0002439D">
              <w:t xml:space="preserve"> Board: </w:t>
            </w:r>
          </w:p>
          <w:p w14:paraId="655DC260" w14:textId="204C890B" w:rsidR="00400353" w:rsidRPr="0002439D" w:rsidRDefault="00400353" w:rsidP="0002439D">
            <w:pPr>
              <w:pStyle w:val="NoSpacing"/>
              <w:numPr>
                <w:ilvl w:val="0"/>
                <w:numId w:val="16"/>
              </w:numPr>
            </w:pPr>
            <w:r w:rsidRPr="0002439D">
              <w:t>Approve</w:t>
            </w:r>
            <w:r w:rsidR="0002439D">
              <w:t>d</w:t>
            </w:r>
            <w:r w:rsidRPr="0002439D">
              <w:t xml:space="preserve"> the progress against the actions identified in the ‘Understanding and Responding to Diverse Customer Needs’ plan</w:t>
            </w:r>
          </w:p>
          <w:p w14:paraId="58F6C600" w14:textId="15A3927D" w:rsidR="00400353" w:rsidRPr="0002439D" w:rsidRDefault="00400353" w:rsidP="0002439D">
            <w:pPr>
              <w:pStyle w:val="NoSpacing"/>
              <w:numPr>
                <w:ilvl w:val="0"/>
                <w:numId w:val="16"/>
              </w:numPr>
            </w:pPr>
            <w:r w:rsidRPr="0002439D">
              <w:t>Consider</w:t>
            </w:r>
            <w:r w:rsidR="0002439D">
              <w:t>ed</w:t>
            </w:r>
            <w:r w:rsidRPr="0002439D">
              <w:t xml:space="preserve"> the frequency of reporting updates on the Plan to Board</w:t>
            </w:r>
            <w:r w:rsidR="0002439D">
              <w:t xml:space="preserve"> and agreed to receive updates every six months</w:t>
            </w:r>
            <w:r w:rsidR="00B5797C" w:rsidRPr="0002439D">
              <w:t xml:space="preserve"> </w:t>
            </w:r>
          </w:p>
          <w:p w14:paraId="3C9EC68B" w14:textId="5638C29F" w:rsidR="00F82B0F" w:rsidRPr="0002439D" w:rsidRDefault="00F82B0F" w:rsidP="00584CFB">
            <w:pPr>
              <w:pStyle w:val="NoSpacing"/>
              <w:rPr>
                <w:b/>
                <w:bCs/>
              </w:rPr>
            </w:pPr>
          </w:p>
        </w:tc>
        <w:tc>
          <w:tcPr>
            <w:tcW w:w="1028" w:type="dxa"/>
            <w:gridSpan w:val="2"/>
          </w:tcPr>
          <w:p w14:paraId="3233894E" w14:textId="77777777" w:rsidR="00067CE7" w:rsidRPr="0002439D" w:rsidRDefault="00067CE7" w:rsidP="00584CFB">
            <w:pPr>
              <w:pStyle w:val="NoSpacing"/>
            </w:pPr>
          </w:p>
        </w:tc>
      </w:tr>
      <w:tr w:rsidR="00067CE7" w:rsidRPr="00241AF6" w14:paraId="407CE5DA" w14:textId="77777777" w:rsidTr="00584CFB">
        <w:tc>
          <w:tcPr>
            <w:tcW w:w="9243" w:type="dxa"/>
            <w:gridSpan w:val="8"/>
            <w:shd w:val="clear" w:color="auto" w:fill="D9D9D9"/>
          </w:tcPr>
          <w:p w14:paraId="4312BA2B" w14:textId="119B0C0E" w:rsidR="00067CE7" w:rsidRPr="0081520D" w:rsidRDefault="00067CE7" w:rsidP="00584CFB">
            <w:pPr>
              <w:rPr>
                <w:b/>
                <w:sz w:val="24"/>
                <w:szCs w:val="24"/>
              </w:rPr>
            </w:pPr>
            <w:r w:rsidRPr="0081520D">
              <w:rPr>
                <w:b/>
                <w:sz w:val="24"/>
                <w:szCs w:val="24"/>
              </w:rPr>
              <w:t xml:space="preserve">Item </w:t>
            </w:r>
            <w:r w:rsidR="00584CFB">
              <w:rPr>
                <w:b/>
                <w:sz w:val="24"/>
                <w:szCs w:val="24"/>
              </w:rPr>
              <w:t>12</w:t>
            </w:r>
            <w:r w:rsidRPr="0081520D">
              <w:rPr>
                <w:b/>
                <w:sz w:val="24"/>
                <w:szCs w:val="24"/>
              </w:rPr>
              <w:t>:</w:t>
            </w:r>
            <w:r w:rsidR="00584CFB">
              <w:rPr>
                <w:b/>
                <w:sz w:val="24"/>
                <w:szCs w:val="24"/>
              </w:rPr>
              <w:t xml:space="preserve">  </w:t>
            </w:r>
            <w:r w:rsidR="0027250C" w:rsidRPr="00DE73D7">
              <w:rPr>
                <w:rFonts w:cs="Arial"/>
                <w:b/>
                <w:sz w:val="24"/>
                <w:szCs w:val="24"/>
              </w:rPr>
              <w:t xml:space="preserve"> Approval of Residence Excellence Strategy</w:t>
            </w:r>
          </w:p>
        </w:tc>
      </w:tr>
      <w:tr w:rsidR="00067CE7" w:rsidRPr="0002439D" w14:paraId="637DCF5C" w14:textId="77777777" w:rsidTr="00584CFB">
        <w:tc>
          <w:tcPr>
            <w:tcW w:w="988" w:type="dxa"/>
            <w:gridSpan w:val="3"/>
          </w:tcPr>
          <w:p w14:paraId="128ABB0F" w14:textId="504E14F4" w:rsidR="00067CE7" w:rsidRPr="0002439D" w:rsidRDefault="00584CFB" w:rsidP="00584CFB">
            <w:pPr>
              <w:pStyle w:val="NoSpacing"/>
              <w:rPr>
                <w:rFonts w:cs="Calibri"/>
              </w:rPr>
            </w:pPr>
            <w:r w:rsidRPr="0002439D">
              <w:rPr>
                <w:rFonts w:cs="Calibri"/>
              </w:rPr>
              <w:lastRenderedPageBreak/>
              <w:t>12</w:t>
            </w:r>
          </w:p>
        </w:tc>
        <w:tc>
          <w:tcPr>
            <w:tcW w:w="7227" w:type="dxa"/>
            <w:gridSpan w:val="3"/>
          </w:tcPr>
          <w:p w14:paraId="5D45F77E" w14:textId="20773954" w:rsidR="00AB638A" w:rsidRDefault="00AB638A" w:rsidP="00AB638A">
            <w:pPr>
              <w:pStyle w:val="NoSpacing"/>
            </w:pPr>
            <w:r w:rsidRPr="0002439D">
              <w:t>The report was presented by the DoC and HoCE and taken as read, with key highlights noted:</w:t>
            </w:r>
          </w:p>
          <w:p w14:paraId="083BDDD0" w14:textId="77777777" w:rsidR="00F60E64" w:rsidRPr="0002439D" w:rsidRDefault="00F60E64" w:rsidP="00AB638A">
            <w:pPr>
              <w:pStyle w:val="NoSpacing"/>
            </w:pPr>
          </w:p>
          <w:p w14:paraId="0960751F" w14:textId="55CCAA21" w:rsidR="006343F2" w:rsidRPr="0002439D" w:rsidRDefault="006343F2" w:rsidP="006343F2">
            <w:pPr>
              <w:pStyle w:val="NoSpacing"/>
              <w:rPr>
                <w:rFonts w:cs="Calibri"/>
                <w:bCs/>
              </w:rPr>
            </w:pPr>
            <w:r w:rsidRPr="0002439D">
              <w:rPr>
                <w:rFonts w:cs="Calibri"/>
                <w:bCs/>
              </w:rPr>
              <w:t xml:space="preserve">A </w:t>
            </w:r>
            <w:r w:rsidR="0002439D">
              <w:rPr>
                <w:rFonts w:cs="Calibri"/>
                <w:bCs/>
              </w:rPr>
              <w:t>s</w:t>
            </w:r>
            <w:r w:rsidRPr="0002439D">
              <w:rPr>
                <w:rFonts w:cs="Calibri"/>
                <w:bCs/>
              </w:rPr>
              <w:t xml:space="preserve">trategy action plan sits alongside the </w:t>
            </w:r>
            <w:r w:rsidR="0002439D">
              <w:rPr>
                <w:rFonts w:cs="Calibri"/>
                <w:bCs/>
              </w:rPr>
              <w:t>s</w:t>
            </w:r>
            <w:r w:rsidRPr="0002439D">
              <w:rPr>
                <w:rFonts w:cs="Calibri"/>
                <w:bCs/>
              </w:rPr>
              <w:t>trategy to deliver the new approach which will be reviewed and monitored by the Service Quality Committee and reported to NPH Board.</w:t>
            </w:r>
          </w:p>
          <w:p w14:paraId="5479E7E6" w14:textId="77777777" w:rsidR="006343F2" w:rsidRPr="0002439D" w:rsidRDefault="006343F2" w:rsidP="006343F2">
            <w:pPr>
              <w:pStyle w:val="NoSpacing"/>
              <w:rPr>
                <w:rFonts w:cs="Calibri"/>
                <w:bCs/>
              </w:rPr>
            </w:pPr>
          </w:p>
          <w:p w14:paraId="63C240E3" w14:textId="643D7590" w:rsidR="006343F2" w:rsidRPr="0002439D" w:rsidRDefault="006343F2" w:rsidP="006343F2">
            <w:pPr>
              <w:pStyle w:val="NoSpacing"/>
              <w:rPr>
                <w:rFonts w:cs="Calibri"/>
                <w:bCs/>
              </w:rPr>
            </w:pPr>
            <w:r w:rsidRPr="0002439D">
              <w:rPr>
                <w:rFonts w:cs="Calibri"/>
                <w:bCs/>
              </w:rPr>
              <w:t xml:space="preserve">The </w:t>
            </w:r>
            <w:r w:rsidR="0002439D">
              <w:rPr>
                <w:rFonts w:cs="Calibri"/>
                <w:bCs/>
              </w:rPr>
              <w:t>s</w:t>
            </w:r>
            <w:r w:rsidRPr="0002439D">
              <w:rPr>
                <w:rFonts w:cs="Calibri"/>
                <w:bCs/>
              </w:rPr>
              <w:t>trategy is supported by work which has commenced on ‘Understanding and Responding to Diverse Customer Needs. Actions include:</w:t>
            </w:r>
          </w:p>
          <w:p w14:paraId="2E40389B" w14:textId="77777777" w:rsidR="006343F2" w:rsidRPr="0002439D" w:rsidRDefault="006343F2" w:rsidP="00DC4FDF">
            <w:pPr>
              <w:pStyle w:val="NoSpacing"/>
              <w:numPr>
                <w:ilvl w:val="0"/>
                <w:numId w:val="18"/>
              </w:numPr>
              <w:ind w:left="748" w:hanging="425"/>
              <w:rPr>
                <w:rFonts w:cs="Calibri"/>
                <w:bCs/>
              </w:rPr>
            </w:pPr>
            <w:r w:rsidRPr="0002439D">
              <w:rPr>
                <w:rFonts w:cs="Calibri"/>
                <w:bCs/>
              </w:rPr>
              <w:t>Tenant Profile developed covering protected characteristics</w:t>
            </w:r>
          </w:p>
          <w:p w14:paraId="70C85A9D" w14:textId="77777777" w:rsidR="006343F2" w:rsidRPr="0002439D" w:rsidRDefault="006343F2" w:rsidP="00DC5591">
            <w:pPr>
              <w:pStyle w:val="NoSpacing"/>
              <w:numPr>
                <w:ilvl w:val="0"/>
                <w:numId w:val="18"/>
              </w:numPr>
              <w:rPr>
                <w:rFonts w:cs="Calibri"/>
                <w:bCs/>
              </w:rPr>
            </w:pPr>
            <w:r w:rsidRPr="0002439D">
              <w:rPr>
                <w:rFonts w:cs="Calibri"/>
                <w:bCs/>
              </w:rPr>
              <w:t>Refresh of approach for data and resident voice driven Equality Impact Assessments</w:t>
            </w:r>
          </w:p>
          <w:p w14:paraId="51491DBD" w14:textId="77777777" w:rsidR="006343F2" w:rsidRPr="0002439D" w:rsidRDefault="006343F2" w:rsidP="00DC5591">
            <w:pPr>
              <w:pStyle w:val="NoSpacing"/>
              <w:numPr>
                <w:ilvl w:val="0"/>
                <w:numId w:val="18"/>
              </w:numPr>
              <w:rPr>
                <w:rFonts w:cs="Calibri"/>
                <w:bCs/>
              </w:rPr>
            </w:pPr>
            <w:r w:rsidRPr="0002439D">
              <w:rPr>
                <w:rFonts w:cs="Calibri"/>
                <w:bCs/>
              </w:rPr>
              <w:t>Equality, Diversity and Inclusion TSM analysis has been conducted</w:t>
            </w:r>
          </w:p>
          <w:p w14:paraId="7D06BA4B" w14:textId="04538478" w:rsidR="006343F2" w:rsidRPr="0002439D" w:rsidRDefault="006343F2" w:rsidP="00DC5591">
            <w:pPr>
              <w:pStyle w:val="NoSpacing"/>
              <w:numPr>
                <w:ilvl w:val="0"/>
                <w:numId w:val="18"/>
              </w:numPr>
              <w:rPr>
                <w:rFonts w:cs="Calibri"/>
                <w:bCs/>
              </w:rPr>
            </w:pPr>
            <w:r w:rsidRPr="0002439D">
              <w:rPr>
                <w:rFonts w:cs="Calibri"/>
                <w:bCs/>
              </w:rPr>
              <w:t xml:space="preserve">Review </w:t>
            </w:r>
            <w:r w:rsidR="0002439D">
              <w:rPr>
                <w:rFonts w:cs="Calibri"/>
                <w:bCs/>
              </w:rPr>
              <w:t>c</w:t>
            </w:r>
            <w:r w:rsidRPr="0002439D">
              <w:rPr>
                <w:rFonts w:cs="Calibri"/>
                <w:bCs/>
              </w:rPr>
              <w:t xml:space="preserve">ommunication </w:t>
            </w:r>
            <w:r w:rsidR="0002439D">
              <w:rPr>
                <w:rFonts w:cs="Calibri"/>
                <w:bCs/>
              </w:rPr>
              <w:t>n</w:t>
            </w:r>
            <w:r w:rsidRPr="0002439D">
              <w:rPr>
                <w:rFonts w:cs="Calibri"/>
                <w:bCs/>
              </w:rPr>
              <w:t xml:space="preserve">eeds of </w:t>
            </w:r>
            <w:r w:rsidR="0002439D">
              <w:rPr>
                <w:rFonts w:cs="Calibri"/>
                <w:bCs/>
              </w:rPr>
              <w:t>m</w:t>
            </w:r>
            <w:r w:rsidRPr="0002439D">
              <w:rPr>
                <w:rFonts w:cs="Calibri"/>
                <w:bCs/>
              </w:rPr>
              <w:t xml:space="preserve">ain Tenant </w:t>
            </w:r>
            <w:r w:rsidR="0002439D">
              <w:rPr>
                <w:rFonts w:cs="Calibri"/>
                <w:bCs/>
              </w:rPr>
              <w:t>p</w:t>
            </w:r>
            <w:r w:rsidRPr="0002439D">
              <w:rPr>
                <w:rFonts w:cs="Calibri"/>
                <w:bCs/>
              </w:rPr>
              <w:t>rofile to understand and respond to needs</w:t>
            </w:r>
          </w:p>
          <w:p w14:paraId="0625B8E6" w14:textId="77777777" w:rsidR="006343F2" w:rsidRPr="0002439D" w:rsidRDefault="006343F2" w:rsidP="00DC5591">
            <w:pPr>
              <w:pStyle w:val="NoSpacing"/>
              <w:numPr>
                <w:ilvl w:val="0"/>
                <w:numId w:val="18"/>
              </w:numPr>
              <w:rPr>
                <w:rFonts w:cs="Calibri"/>
                <w:bCs/>
              </w:rPr>
            </w:pPr>
            <w:r w:rsidRPr="0002439D">
              <w:rPr>
                <w:rFonts w:cs="Calibri"/>
                <w:bCs/>
              </w:rPr>
              <w:t>Resident Excellence Strategy developed with residents setting out how residents needs will be identified and services tailored to needs</w:t>
            </w:r>
          </w:p>
          <w:p w14:paraId="70330786" w14:textId="7A77D28A" w:rsidR="006343F2" w:rsidRPr="0002439D" w:rsidRDefault="006343F2" w:rsidP="00DC5591">
            <w:pPr>
              <w:pStyle w:val="NoSpacing"/>
              <w:numPr>
                <w:ilvl w:val="0"/>
                <w:numId w:val="18"/>
              </w:numPr>
              <w:rPr>
                <w:rFonts w:cs="Calibri"/>
                <w:bCs/>
              </w:rPr>
            </w:pPr>
            <w:r w:rsidRPr="0002439D">
              <w:rPr>
                <w:rFonts w:cs="Calibri"/>
                <w:bCs/>
              </w:rPr>
              <w:t xml:space="preserve">Future actions include a Service User </w:t>
            </w:r>
            <w:r w:rsidR="0002439D">
              <w:rPr>
                <w:rFonts w:cs="Calibri"/>
                <w:bCs/>
              </w:rPr>
              <w:t>P</w:t>
            </w:r>
            <w:r w:rsidRPr="0002439D">
              <w:rPr>
                <w:rFonts w:cs="Calibri"/>
                <w:bCs/>
              </w:rPr>
              <w:t>rof</w:t>
            </w:r>
            <w:r w:rsidR="0002439D">
              <w:rPr>
                <w:rFonts w:cs="Calibri"/>
                <w:bCs/>
              </w:rPr>
              <w:t>ile</w:t>
            </w:r>
          </w:p>
          <w:p w14:paraId="70B493D1" w14:textId="77777777" w:rsidR="006343F2" w:rsidRPr="0002439D" w:rsidRDefault="006343F2" w:rsidP="006343F2">
            <w:pPr>
              <w:pStyle w:val="NoSpacing"/>
              <w:rPr>
                <w:rFonts w:cs="Calibri"/>
                <w:bCs/>
              </w:rPr>
            </w:pPr>
          </w:p>
          <w:p w14:paraId="5A97A7BE" w14:textId="77777777" w:rsidR="006343F2" w:rsidRDefault="006343F2" w:rsidP="006343F2">
            <w:pPr>
              <w:pStyle w:val="NoSpacing"/>
              <w:rPr>
                <w:rFonts w:cs="Calibri"/>
                <w:bCs/>
              </w:rPr>
            </w:pPr>
            <w:r w:rsidRPr="0002439D">
              <w:rPr>
                <w:rFonts w:cs="Calibri"/>
                <w:bCs/>
              </w:rPr>
              <w:t xml:space="preserve">The Resident Excellence Strategy has been developed and informed by resident and leaseholder engagement activities along with refreshed Service standards shaped by feedback. The actions identified set out how NPH will improve the resident experience and comply with </w:t>
            </w:r>
            <w:r w:rsidRPr="0002439D">
              <w:rPr>
                <w:rFonts w:cs="Calibri"/>
              </w:rPr>
              <w:t>the Regulator of Social Housing (RSH) Consumer Standard 2 Transparency, Influence and Accountability</w:t>
            </w:r>
            <w:r w:rsidRPr="0002439D">
              <w:rPr>
                <w:rFonts w:cs="Calibri"/>
                <w:bCs/>
              </w:rPr>
              <w:t>.</w:t>
            </w:r>
          </w:p>
          <w:p w14:paraId="403F8479" w14:textId="77777777" w:rsidR="0002439D" w:rsidRPr="0002439D" w:rsidRDefault="0002439D" w:rsidP="006343F2">
            <w:pPr>
              <w:pStyle w:val="NoSpacing"/>
              <w:rPr>
                <w:rFonts w:cs="Calibri"/>
                <w:bCs/>
              </w:rPr>
            </w:pPr>
          </w:p>
          <w:p w14:paraId="234EF028" w14:textId="5EF19FD0" w:rsidR="00B5797C" w:rsidRPr="0002439D" w:rsidRDefault="00AB638A" w:rsidP="00584CFB">
            <w:pPr>
              <w:pStyle w:val="NoSpacing"/>
              <w:rPr>
                <w:rFonts w:cs="Calibri"/>
              </w:rPr>
            </w:pPr>
            <w:r w:rsidRPr="0002439D">
              <w:t>The Board Members discussions included the need for improved repairs responsiveness, clear service standards, and continued alignment with consumer regulation.</w:t>
            </w:r>
          </w:p>
          <w:p w14:paraId="1127D933" w14:textId="77777777" w:rsidR="00F82B0F" w:rsidRPr="0002439D" w:rsidRDefault="00F82B0F" w:rsidP="00584CFB">
            <w:pPr>
              <w:pStyle w:val="NoSpacing"/>
              <w:rPr>
                <w:rFonts w:cs="Calibri"/>
              </w:rPr>
            </w:pPr>
          </w:p>
          <w:p w14:paraId="0B623B55" w14:textId="0303FAD3" w:rsidR="0027250C" w:rsidRPr="0002439D" w:rsidRDefault="0002439D" w:rsidP="0027250C">
            <w:pPr>
              <w:rPr>
                <w:rFonts w:cs="Calibri"/>
                <w:b/>
                <w:bCs/>
                <w:color w:val="000000"/>
              </w:rPr>
            </w:pPr>
            <w:r>
              <w:rPr>
                <w:rFonts w:cs="Calibri"/>
                <w:color w:val="000000"/>
              </w:rPr>
              <w:t>The</w:t>
            </w:r>
            <w:r w:rsidR="0027250C" w:rsidRPr="0002439D">
              <w:rPr>
                <w:rFonts w:cs="Calibri"/>
                <w:color w:val="000000"/>
              </w:rPr>
              <w:t xml:space="preserve"> Board: </w:t>
            </w:r>
          </w:p>
          <w:p w14:paraId="528AE127" w14:textId="77777777" w:rsidR="0027250C" w:rsidRPr="0002439D" w:rsidRDefault="0027250C" w:rsidP="00E40BAC">
            <w:pPr>
              <w:pStyle w:val="NoSpacing"/>
              <w:numPr>
                <w:ilvl w:val="0"/>
                <w:numId w:val="16"/>
              </w:numPr>
              <w:rPr>
                <w:rFonts w:cs="Calibri"/>
              </w:rPr>
            </w:pPr>
            <w:r w:rsidRPr="0002439D">
              <w:rPr>
                <w:rFonts w:cs="Calibri"/>
              </w:rPr>
              <w:t>Consider the new Resident Excellence Strategy and accompanying Equality Impact Assessment presented by the Service Quality Committee for Board approval.</w:t>
            </w:r>
          </w:p>
          <w:p w14:paraId="6F36E046" w14:textId="29B942E8" w:rsidR="00F82B0F" w:rsidRPr="0002439D" w:rsidRDefault="00F82B0F" w:rsidP="00584CFB">
            <w:pPr>
              <w:pStyle w:val="NoSpacing"/>
              <w:rPr>
                <w:rFonts w:cs="Calibri"/>
                <w:b/>
                <w:bCs/>
              </w:rPr>
            </w:pPr>
          </w:p>
        </w:tc>
        <w:tc>
          <w:tcPr>
            <w:tcW w:w="1028" w:type="dxa"/>
            <w:gridSpan w:val="2"/>
          </w:tcPr>
          <w:p w14:paraId="2746D59E" w14:textId="77777777" w:rsidR="00067CE7" w:rsidRPr="0002439D" w:rsidRDefault="00067CE7" w:rsidP="00584CFB">
            <w:pPr>
              <w:pStyle w:val="NoSpacing"/>
              <w:rPr>
                <w:rFonts w:cs="Calibri"/>
              </w:rPr>
            </w:pPr>
          </w:p>
        </w:tc>
      </w:tr>
      <w:tr w:rsidR="00067CE7" w:rsidRPr="00241AF6" w14:paraId="5B569A11" w14:textId="77777777" w:rsidTr="00584CFB">
        <w:tc>
          <w:tcPr>
            <w:tcW w:w="9243" w:type="dxa"/>
            <w:gridSpan w:val="8"/>
            <w:shd w:val="clear" w:color="auto" w:fill="D9D9D9"/>
          </w:tcPr>
          <w:p w14:paraId="6C88E8C4" w14:textId="2472F6D2" w:rsidR="00067CE7" w:rsidRPr="0081520D" w:rsidRDefault="00067CE7" w:rsidP="00584CFB">
            <w:pPr>
              <w:rPr>
                <w:b/>
                <w:sz w:val="24"/>
                <w:szCs w:val="24"/>
              </w:rPr>
            </w:pPr>
            <w:r w:rsidRPr="0081520D">
              <w:rPr>
                <w:b/>
                <w:sz w:val="24"/>
                <w:szCs w:val="24"/>
              </w:rPr>
              <w:t xml:space="preserve">Item </w:t>
            </w:r>
            <w:r w:rsidR="00584CFB">
              <w:rPr>
                <w:b/>
                <w:sz w:val="24"/>
                <w:szCs w:val="24"/>
              </w:rPr>
              <w:t>13</w:t>
            </w:r>
            <w:r w:rsidRPr="0081520D">
              <w:rPr>
                <w:b/>
                <w:sz w:val="24"/>
                <w:szCs w:val="24"/>
              </w:rPr>
              <w:t>:</w:t>
            </w:r>
            <w:r w:rsidR="00584CFB">
              <w:rPr>
                <w:b/>
                <w:sz w:val="24"/>
                <w:szCs w:val="24"/>
              </w:rPr>
              <w:t xml:space="preserve">  </w:t>
            </w:r>
            <w:r w:rsidR="00400353">
              <w:rPr>
                <w:rFonts w:cs="Arial"/>
                <w:b/>
                <w:sz w:val="24"/>
                <w:szCs w:val="24"/>
              </w:rPr>
              <w:t xml:space="preserve"> Decent Homes Update</w:t>
            </w:r>
          </w:p>
        </w:tc>
      </w:tr>
      <w:tr w:rsidR="00067CE7" w:rsidRPr="00E40BAC" w14:paraId="57E46320" w14:textId="77777777" w:rsidTr="00584CFB">
        <w:tc>
          <w:tcPr>
            <w:tcW w:w="988" w:type="dxa"/>
            <w:gridSpan w:val="3"/>
          </w:tcPr>
          <w:p w14:paraId="2461698D" w14:textId="69F8D6A0" w:rsidR="00067CE7" w:rsidRPr="00E40BAC" w:rsidRDefault="00584CFB" w:rsidP="00584CFB">
            <w:pPr>
              <w:pStyle w:val="NoSpacing"/>
            </w:pPr>
            <w:r w:rsidRPr="00E40BAC">
              <w:t>13</w:t>
            </w:r>
          </w:p>
        </w:tc>
        <w:tc>
          <w:tcPr>
            <w:tcW w:w="7227" w:type="dxa"/>
            <w:gridSpan w:val="3"/>
          </w:tcPr>
          <w:p w14:paraId="61578F85" w14:textId="690A3CF3" w:rsidR="006343F2" w:rsidRPr="00E40BAC" w:rsidRDefault="006343F2" w:rsidP="006343F2">
            <w:pPr>
              <w:pStyle w:val="NoSpacing"/>
            </w:pPr>
            <w:r w:rsidRPr="00E40BAC">
              <w:t>The report was presented by the DoP</w:t>
            </w:r>
            <w:r w:rsidR="00E40BAC" w:rsidRPr="0086282F">
              <w:t>DC</w:t>
            </w:r>
            <w:r w:rsidRPr="00E40BAC">
              <w:t xml:space="preserve"> and taken as read, with key highlights noted:</w:t>
            </w:r>
          </w:p>
          <w:p w14:paraId="21414148" w14:textId="39428FD0" w:rsidR="006343F2" w:rsidRPr="00E40BAC" w:rsidRDefault="006343F2" w:rsidP="006343F2">
            <w:pPr>
              <w:pStyle w:val="NoSpacing"/>
            </w:pPr>
            <w:r w:rsidRPr="00E40BAC">
              <w:t>As at year-end 2024/25, we reported a non-decency figure of 19.15% (which equates to 2,201 properties). This was based on up-to-date stock condition data that was collected during 2023 and 2024. It was agreed by WNC and the RSH that works to bring these properties back to decency will be split over two years, with 75% (1,651</w:t>
            </w:r>
            <w:r w:rsidR="006A1E18">
              <w:t xml:space="preserve"> </w:t>
            </w:r>
            <w:r w:rsidRPr="00E40BAC">
              <w:t>no) being targeted as part of the 2025/26 investment programme and 25% (550</w:t>
            </w:r>
            <w:r w:rsidR="00AB26E1" w:rsidRPr="00E40BAC">
              <w:t xml:space="preserve"> </w:t>
            </w:r>
            <w:r w:rsidRPr="00E40BAC">
              <w:t xml:space="preserve">no) being carried forward to 2026/27. </w:t>
            </w:r>
          </w:p>
          <w:p w14:paraId="5F723CA6" w14:textId="77777777" w:rsidR="006343F2" w:rsidRDefault="006343F2" w:rsidP="006343F2">
            <w:pPr>
              <w:pStyle w:val="NoSpacing"/>
            </w:pPr>
            <w:r w:rsidRPr="00E40BAC">
              <w:t xml:space="preserve">To date, the non-decency backlog of 19.15% has reduced by 526 properties to 14.77%. </w:t>
            </w:r>
          </w:p>
          <w:p w14:paraId="08C478EF" w14:textId="77777777" w:rsidR="00F60E64" w:rsidRPr="00E40BAC" w:rsidRDefault="00F60E64" w:rsidP="006343F2">
            <w:pPr>
              <w:pStyle w:val="NoSpacing"/>
            </w:pPr>
          </w:p>
          <w:p w14:paraId="3C8D8FCF" w14:textId="77777777" w:rsidR="006343F2" w:rsidRPr="00E40BAC" w:rsidRDefault="006343F2" w:rsidP="006343F2">
            <w:pPr>
              <w:pStyle w:val="NoSpacing"/>
            </w:pPr>
            <w:r w:rsidRPr="00E40BAC">
              <w:t xml:space="preserve">The majority of the capital investment works to address non-decency was planned to fall between September 2025 and March 2026, following the project initiation stages. NPH experienced delays in onboarding new contractors following the departure of the main contractor, Equans. The programme was reprofiled resulting in the majority of the programme taking place between December 2025 and March 2026.  </w:t>
            </w:r>
          </w:p>
          <w:p w14:paraId="1DD2DA6F" w14:textId="77777777" w:rsidR="006343F2" w:rsidRPr="00E40BAC" w:rsidRDefault="006343F2" w:rsidP="006343F2">
            <w:pPr>
              <w:pStyle w:val="NoSpacing"/>
            </w:pPr>
            <w:r w:rsidRPr="00E40BAC">
              <w:t xml:space="preserve">The non-decency forecast for year-end 2025/26 is 8.42% as reported at the end of Q2. This is made up of 405 properties that will have become non-decent during 2025/26, as well as the 550 non-decent properties that are being carried forward from the 2024/25 backlog. </w:t>
            </w:r>
          </w:p>
          <w:p w14:paraId="1DD9937C" w14:textId="77777777" w:rsidR="00F82B0F" w:rsidRPr="00E40BAC" w:rsidRDefault="00F82B0F" w:rsidP="00584CFB">
            <w:pPr>
              <w:pStyle w:val="NoSpacing"/>
            </w:pPr>
          </w:p>
          <w:p w14:paraId="0BAC0C03" w14:textId="4126AB58" w:rsidR="00AB26E1" w:rsidRPr="00E40BAC" w:rsidRDefault="00AB26E1" w:rsidP="00AB26E1">
            <w:r w:rsidRPr="00E40BAC">
              <w:t xml:space="preserve">The Board Members queried </w:t>
            </w:r>
            <w:r w:rsidR="005E6325">
              <w:t xml:space="preserve">the </w:t>
            </w:r>
            <w:r w:rsidRPr="00E40BAC">
              <w:t xml:space="preserve">calculations, treatment of block failures, and mechanisms to identify new failures. The DoPDC confirmed stock condition survey processes and escalation routes for urgent issues, including hoarding cases. </w:t>
            </w:r>
          </w:p>
          <w:p w14:paraId="0AEC58AE" w14:textId="24B3A919" w:rsidR="00AB26E1" w:rsidRPr="00E40BAC" w:rsidRDefault="00AB26E1" w:rsidP="00AB26E1">
            <w:r w:rsidRPr="00E40BAC">
              <w:t xml:space="preserve">A Board Member raised the need for a full cost–benefit analysis regarding the housing portfolio, including consideration of whether certain homes should be sold where economic investment is no longer justified. </w:t>
            </w:r>
          </w:p>
          <w:p w14:paraId="70DB2913" w14:textId="21D430C8" w:rsidR="00AB26E1" w:rsidRPr="00E40BAC" w:rsidRDefault="00AB26E1" w:rsidP="00AB26E1">
            <w:r w:rsidRPr="00E40BAC">
              <w:t>The DoPDC confirmed that high</w:t>
            </w:r>
            <w:r w:rsidRPr="00E40BAC">
              <w:noBreakHyphen/>
              <w:t>cost properties are being reviewed through option appraisals, including the possibility of buy</w:t>
            </w:r>
            <w:r w:rsidRPr="00E40BAC">
              <w:noBreakHyphen/>
              <w:t>backs. He noted that the entire asset holding is under review as part of the Asset Management Plan. A list of recommended disposals will be produced.</w:t>
            </w:r>
          </w:p>
          <w:p w14:paraId="6F327616" w14:textId="77777777" w:rsidR="00AB26E1" w:rsidRPr="00E40BAC" w:rsidRDefault="00AB26E1" w:rsidP="00AB26E1">
            <w:r w:rsidRPr="00E40BAC">
              <w:t>Data Quality and Risk Management - A Board Member highlighted inaccuracies in the data as a risk that will need to be managed. She emphasised the need for a robust control system to ensure data integrity and queried whether internal audit has included this area in their programme.</w:t>
            </w:r>
          </w:p>
          <w:p w14:paraId="13D69861" w14:textId="77777777" w:rsidR="00AB26E1" w:rsidRPr="00E40BAC" w:rsidRDefault="00AB26E1" w:rsidP="00AB26E1">
            <w:r w:rsidRPr="00E40BAC">
              <w:t>The DoPDC confirmed that an audit has been completed on stock condition data. The Board discussed the need for assurance on data quality and asked whether third</w:t>
            </w:r>
            <w:r w:rsidRPr="00E40BAC">
              <w:noBreakHyphen/>
              <w:t>party assurance is programmed in.</w:t>
            </w:r>
          </w:p>
          <w:p w14:paraId="26ED05D6" w14:textId="1B6AFCBA" w:rsidR="00AB26E1" w:rsidRPr="00E40BAC" w:rsidRDefault="00AB26E1" w:rsidP="00AB26E1">
            <w:r w:rsidRPr="00E40BAC">
              <w:t xml:space="preserve">The DoR outlined work on an automated dashboard that will extract data from Open Housing to replicate current officer processes. He noted that this will be a key measure within the new housing system </w:t>
            </w:r>
            <w:r w:rsidR="006668F5" w:rsidRPr="00E40BAC">
              <w:t>and acknowledged</w:t>
            </w:r>
            <w:r w:rsidRPr="00E40BAC">
              <w:t xml:space="preserve"> the risks associated with data migration but also the opportunity to cleanse and improve data quality</w:t>
            </w:r>
            <w:r w:rsidR="006668F5" w:rsidRPr="00E40BAC">
              <w:t>. D</w:t>
            </w:r>
            <w:r w:rsidRPr="00E40BAC">
              <w:t>ata cleansing will be an integral part of the migration process</w:t>
            </w:r>
            <w:r w:rsidR="006668F5" w:rsidRPr="00E40BAC">
              <w:t>.</w:t>
            </w:r>
          </w:p>
          <w:p w14:paraId="0835CCBF" w14:textId="20C8CE7B" w:rsidR="00AB26E1" w:rsidRPr="00E40BAC" w:rsidRDefault="00AB26E1" w:rsidP="00AB26E1">
            <w:r w:rsidRPr="00E40BAC">
              <w:t>EPC Compliance</w:t>
            </w:r>
            <w:r w:rsidR="006668F5" w:rsidRPr="00E40BAC">
              <w:t xml:space="preserve"> – A Board Member</w:t>
            </w:r>
            <w:r w:rsidRPr="00E40BAC">
              <w:t xml:space="preserve"> noted that EPC compliance includes a cap of £10,000 per property, and meeting this threshold counts as compliant.</w:t>
            </w:r>
            <w:r w:rsidR="006668F5" w:rsidRPr="00E40BAC">
              <w:t xml:space="preserve"> </w:t>
            </w:r>
            <w:r w:rsidRPr="00E40BAC">
              <w:t>He highlighted that this represents a subtle but important change.</w:t>
            </w:r>
          </w:p>
          <w:p w14:paraId="1C03F2D3" w14:textId="702B81D1" w:rsidR="00AB26E1" w:rsidRPr="00E40BAC" w:rsidRDefault="00AB26E1" w:rsidP="00AB26E1">
            <w:r w:rsidRPr="00E40BAC">
              <w:lastRenderedPageBreak/>
              <w:t>The Board requested quarterly updates due to the significance of the issue for future regulatory inspection.</w:t>
            </w:r>
          </w:p>
          <w:p w14:paraId="1B7D3B32" w14:textId="21D9CD86" w:rsidR="006343F2" w:rsidRPr="00E40BAC" w:rsidRDefault="006343F2" w:rsidP="006343F2">
            <w:pPr>
              <w:rPr>
                <w:b/>
                <w:bCs/>
                <w:color w:val="000000"/>
              </w:rPr>
            </w:pPr>
            <w:r w:rsidRPr="00E40BAC">
              <w:rPr>
                <w:color w:val="000000"/>
              </w:rPr>
              <w:t>Th</w:t>
            </w:r>
            <w:r w:rsidR="004C7C81">
              <w:rPr>
                <w:color w:val="000000"/>
              </w:rPr>
              <w:t>e</w:t>
            </w:r>
            <w:r w:rsidRPr="00E40BAC">
              <w:rPr>
                <w:color w:val="000000"/>
              </w:rPr>
              <w:t xml:space="preserve"> Board: </w:t>
            </w:r>
          </w:p>
          <w:p w14:paraId="55A65C2C" w14:textId="43373EFF" w:rsidR="00F82B0F" w:rsidRPr="00E40BAC" w:rsidRDefault="006343F2" w:rsidP="004C7C81">
            <w:pPr>
              <w:pStyle w:val="NoSpacing"/>
              <w:numPr>
                <w:ilvl w:val="0"/>
                <w:numId w:val="16"/>
              </w:numPr>
            </w:pPr>
            <w:r w:rsidRPr="00E40BAC">
              <w:rPr>
                <w:color w:val="000000"/>
              </w:rPr>
              <w:t>note</w:t>
            </w:r>
            <w:r w:rsidR="004C7C81">
              <w:rPr>
                <w:color w:val="000000"/>
              </w:rPr>
              <w:t>d</w:t>
            </w:r>
            <w:r w:rsidRPr="00E40BAC">
              <w:rPr>
                <w:color w:val="000000"/>
              </w:rPr>
              <w:t xml:space="preserve"> the content of this report.  </w:t>
            </w:r>
          </w:p>
          <w:p w14:paraId="481B04DD" w14:textId="7C0136F5" w:rsidR="00F82B0F" w:rsidRPr="00E40BAC" w:rsidRDefault="00F82B0F" w:rsidP="00584CFB">
            <w:pPr>
              <w:pStyle w:val="NoSpacing"/>
              <w:rPr>
                <w:b/>
                <w:bCs/>
              </w:rPr>
            </w:pPr>
          </w:p>
        </w:tc>
        <w:tc>
          <w:tcPr>
            <w:tcW w:w="1028" w:type="dxa"/>
            <w:gridSpan w:val="2"/>
          </w:tcPr>
          <w:p w14:paraId="4F96666E" w14:textId="77777777" w:rsidR="00067CE7" w:rsidRPr="00E40BAC" w:rsidRDefault="00067CE7" w:rsidP="00584CFB">
            <w:pPr>
              <w:pStyle w:val="NoSpacing"/>
            </w:pPr>
          </w:p>
        </w:tc>
      </w:tr>
      <w:tr w:rsidR="00067CE7" w:rsidRPr="00241AF6" w14:paraId="4BD48BA2" w14:textId="77777777" w:rsidTr="00584CFB">
        <w:tc>
          <w:tcPr>
            <w:tcW w:w="9243" w:type="dxa"/>
            <w:gridSpan w:val="8"/>
            <w:tcBorders>
              <w:bottom w:val="single" w:sz="4" w:space="0" w:color="auto"/>
            </w:tcBorders>
            <w:shd w:val="clear" w:color="auto" w:fill="D9D9D9"/>
          </w:tcPr>
          <w:p w14:paraId="2269B1BE" w14:textId="4CC31B41" w:rsidR="00067CE7" w:rsidRPr="0081520D" w:rsidRDefault="00067CE7" w:rsidP="00584CFB">
            <w:pPr>
              <w:rPr>
                <w:b/>
                <w:sz w:val="24"/>
                <w:szCs w:val="24"/>
              </w:rPr>
            </w:pPr>
            <w:r w:rsidRPr="0081520D">
              <w:rPr>
                <w:b/>
                <w:sz w:val="24"/>
                <w:szCs w:val="24"/>
              </w:rPr>
              <w:lastRenderedPageBreak/>
              <w:t xml:space="preserve">Item </w:t>
            </w:r>
            <w:r w:rsidR="00584CFB">
              <w:rPr>
                <w:b/>
                <w:sz w:val="24"/>
                <w:szCs w:val="24"/>
              </w:rPr>
              <w:t>14</w:t>
            </w:r>
            <w:r w:rsidRPr="0081520D">
              <w:rPr>
                <w:b/>
                <w:sz w:val="24"/>
                <w:szCs w:val="24"/>
              </w:rPr>
              <w:t>:</w:t>
            </w:r>
            <w:r w:rsidR="00584CFB">
              <w:rPr>
                <w:b/>
                <w:sz w:val="24"/>
                <w:szCs w:val="24"/>
              </w:rPr>
              <w:t xml:space="preserve">  </w:t>
            </w:r>
            <w:r w:rsidR="006343F2" w:rsidRPr="00DE73D7">
              <w:rPr>
                <w:rFonts w:cs="Arial"/>
                <w:b/>
                <w:sz w:val="24"/>
                <w:szCs w:val="24"/>
              </w:rPr>
              <w:t xml:space="preserve"> NHF Code of Governance Annual Compliance Review</w:t>
            </w:r>
          </w:p>
        </w:tc>
      </w:tr>
      <w:tr w:rsidR="00067CE7" w:rsidRPr="004C7C81" w14:paraId="39B9977F" w14:textId="77777777" w:rsidTr="00584CFB">
        <w:tc>
          <w:tcPr>
            <w:tcW w:w="988" w:type="dxa"/>
            <w:gridSpan w:val="3"/>
          </w:tcPr>
          <w:p w14:paraId="33FD95E0" w14:textId="21FE6B25" w:rsidR="00067CE7" w:rsidRPr="004C7C81" w:rsidRDefault="00584CFB" w:rsidP="00584CFB">
            <w:pPr>
              <w:pStyle w:val="NoSpacing"/>
            </w:pPr>
            <w:r w:rsidRPr="004C7C81">
              <w:t>14</w:t>
            </w:r>
          </w:p>
        </w:tc>
        <w:tc>
          <w:tcPr>
            <w:tcW w:w="7227" w:type="dxa"/>
            <w:gridSpan w:val="3"/>
          </w:tcPr>
          <w:p w14:paraId="7352084C" w14:textId="53B01102" w:rsidR="006343F2" w:rsidRDefault="006343F2" w:rsidP="006343F2">
            <w:pPr>
              <w:pStyle w:val="NoSpacing"/>
            </w:pPr>
            <w:r w:rsidRPr="004C7C81">
              <w:t xml:space="preserve">The report was presented by the </w:t>
            </w:r>
            <w:r w:rsidR="008C1BCB" w:rsidRPr="004C7C81">
              <w:t xml:space="preserve">HoRG </w:t>
            </w:r>
            <w:r w:rsidRPr="004C7C81">
              <w:t>and taken as read, with key highlights noted:</w:t>
            </w:r>
          </w:p>
          <w:p w14:paraId="77AB574C" w14:textId="77777777" w:rsidR="00F60E64" w:rsidRPr="004C7C81" w:rsidRDefault="00F60E64" w:rsidP="006343F2">
            <w:pPr>
              <w:pStyle w:val="NoSpacing"/>
            </w:pPr>
          </w:p>
          <w:p w14:paraId="41CA3758" w14:textId="247FEC27" w:rsidR="003B1852" w:rsidRPr="004C7C81" w:rsidRDefault="003B1852" w:rsidP="003B1852">
            <w:pPr>
              <w:rPr>
                <w:rFonts w:cs="Calibri"/>
              </w:rPr>
            </w:pPr>
            <w:r w:rsidRPr="004C7C81">
              <w:rPr>
                <w:rFonts w:cs="Calibri"/>
              </w:rPr>
              <w:t xml:space="preserve">The NHF introduced a voluntary Code of Governance which NPH has agreed to follow.  There is an expectation that housing providers carry out a self-assessment every year, supplemented by an external assessment every three years. </w:t>
            </w:r>
            <w:r w:rsidR="008727A7" w:rsidRPr="004C7C81">
              <w:rPr>
                <w:rFonts w:cs="Calibri"/>
              </w:rPr>
              <w:t xml:space="preserve"> </w:t>
            </w:r>
            <w:r w:rsidRPr="004C7C81">
              <w:rPr>
                <w:rFonts w:cs="Calibri"/>
              </w:rPr>
              <w:t>In 2024, HQN carried out an independent review on behalf of NPH and the action plan to address the issues identified has been regularly reported to People and Governance Committee and is largely complete.</w:t>
            </w:r>
          </w:p>
          <w:p w14:paraId="0D11D8EB" w14:textId="0C9B7D7A" w:rsidR="003B1852" w:rsidRPr="004C7C81" w:rsidRDefault="003B1852" w:rsidP="003B1852">
            <w:pPr>
              <w:rPr>
                <w:rFonts w:cs="Calibri"/>
              </w:rPr>
            </w:pPr>
            <w:r w:rsidRPr="004C7C81">
              <w:rPr>
                <w:rFonts w:cs="Calibri"/>
              </w:rPr>
              <w:t xml:space="preserve">The </w:t>
            </w:r>
            <w:r w:rsidR="008727A7" w:rsidRPr="004C7C81">
              <w:rPr>
                <w:rFonts w:cs="Calibri"/>
              </w:rPr>
              <w:t xml:space="preserve">annual </w:t>
            </w:r>
            <w:r w:rsidRPr="004C7C81">
              <w:rPr>
                <w:rFonts w:cs="Calibri"/>
              </w:rPr>
              <w:t xml:space="preserve">self-assessment has been undertaken by the Head of Regulation and Governance and the Board and </w:t>
            </w:r>
            <w:r w:rsidR="004C7C81">
              <w:rPr>
                <w:rFonts w:cs="Calibri"/>
              </w:rPr>
              <w:t>Committees</w:t>
            </w:r>
            <w:r w:rsidRPr="004C7C81">
              <w:rPr>
                <w:rFonts w:cs="Calibri"/>
              </w:rPr>
              <w:t xml:space="preserve"> Officer, and all lines of the Code have been assessed.</w:t>
            </w:r>
            <w:r w:rsidR="008727A7" w:rsidRPr="004C7C81">
              <w:rPr>
                <w:rFonts w:cs="Calibri"/>
              </w:rPr>
              <w:t xml:space="preserve"> </w:t>
            </w:r>
            <w:r w:rsidRPr="004C7C81">
              <w:rPr>
                <w:rFonts w:cs="Calibri"/>
              </w:rPr>
              <w:t>If Board approves the self-assessment, the actions will be condensed into an action plan and progress on this will be reported as part of the regular Governance Update to the People and Governance Committee.</w:t>
            </w:r>
          </w:p>
          <w:p w14:paraId="00BB6E9D" w14:textId="055AFBC0" w:rsidR="003B1852" w:rsidRPr="004C7C81" w:rsidRDefault="003B1852" w:rsidP="003B1852">
            <w:pPr>
              <w:rPr>
                <w:rFonts w:cs="Calibri"/>
              </w:rPr>
            </w:pPr>
            <w:r w:rsidRPr="004C7C81">
              <w:rPr>
                <w:rFonts w:cs="Calibri"/>
              </w:rPr>
              <w:t xml:space="preserve">A decision </w:t>
            </w:r>
            <w:r w:rsidR="008727A7" w:rsidRPr="004C7C81">
              <w:rPr>
                <w:rFonts w:cs="Calibri"/>
              </w:rPr>
              <w:t xml:space="preserve">will need to be taken in the future </w:t>
            </w:r>
            <w:r w:rsidRPr="004C7C81">
              <w:rPr>
                <w:rFonts w:cs="Calibri"/>
              </w:rPr>
              <w:t xml:space="preserve">about whether a subsequent self-assessment at the end of 2026 will be beneficial, once transition arrangements to West Northamptonshire Council are confirmed. </w:t>
            </w:r>
          </w:p>
          <w:p w14:paraId="09CFB2CC" w14:textId="35BFE578" w:rsidR="003B1852" w:rsidRPr="004C7C81" w:rsidRDefault="003B1852" w:rsidP="003B1852">
            <w:pPr>
              <w:rPr>
                <w:b/>
                <w:bCs/>
                <w:color w:val="000000"/>
              </w:rPr>
            </w:pPr>
            <w:r w:rsidRPr="004C7C81">
              <w:rPr>
                <w:color w:val="000000"/>
              </w:rPr>
              <w:t>Th</w:t>
            </w:r>
            <w:r w:rsidR="004C7C81">
              <w:rPr>
                <w:color w:val="000000"/>
              </w:rPr>
              <w:t>e</w:t>
            </w:r>
            <w:r w:rsidRPr="004C7C81">
              <w:rPr>
                <w:color w:val="000000"/>
              </w:rPr>
              <w:t xml:space="preserve"> Board: </w:t>
            </w:r>
          </w:p>
          <w:p w14:paraId="000AE21A" w14:textId="6DCFA4B6" w:rsidR="003B1852" w:rsidRPr="004C7C81" w:rsidRDefault="003B1852" w:rsidP="004C7C81">
            <w:pPr>
              <w:pStyle w:val="NoSpacing"/>
              <w:numPr>
                <w:ilvl w:val="0"/>
                <w:numId w:val="16"/>
              </w:numPr>
              <w:rPr>
                <w:rFonts w:cs="Calibri"/>
              </w:rPr>
            </w:pPr>
            <w:r w:rsidRPr="004C7C81">
              <w:rPr>
                <w:rFonts w:cs="Calibri"/>
              </w:rPr>
              <w:t>approve</w:t>
            </w:r>
            <w:r w:rsidR="004C7C81">
              <w:rPr>
                <w:rFonts w:cs="Calibri"/>
              </w:rPr>
              <w:t>d</w:t>
            </w:r>
            <w:r w:rsidRPr="004C7C81">
              <w:rPr>
                <w:rFonts w:cs="Calibri"/>
              </w:rPr>
              <w:t xml:space="preserve"> the self-assessment against the NHF Code of Governance </w:t>
            </w:r>
          </w:p>
          <w:p w14:paraId="303126BC" w14:textId="3695A479" w:rsidR="0027362C" w:rsidRPr="004C7C81" w:rsidRDefault="003B1852" w:rsidP="004C7C81">
            <w:pPr>
              <w:pStyle w:val="NoSpacing"/>
              <w:numPr>
                <w:ilvl w:val="0"/>
                <w:numId w:val="16"/>
              </w:numPr>
            </w:pPr>
            <w:r w:rsidRPr="004C7C81">
              <w:rPr>
                <w:rFonts w:cs="Calibri"/>
              </w:rPr>
              <w:t>delegate</w:t>
            </w:r>
            <w:r w:rsidR="004C7C81">
              <w:rPr>
                <w:rFonts w:cs="Calibri"/>
              </w:rPr>
              <w:t>d</w:t>
            </w:r>
            <w:r w:rsidRPr="004C7C81">
              <w:rPr>
                <w:rFonts w:cs="Calibri"/>
              </w:rPr>
              <w:t xml:space="preserve"> monitoring of the action plan to the People and Governance Committee</w:t>
            </w:r>
          </w:p>
          <w:p w14:paraId="226B8BEB" w14:textId="68A7BDF4" w:rsidR="0027362C" w:rsidRPr="004C7C81" w:rsidRDefault="0027362C" w:rsidP="00584CFB">
            <w:pPr>
              <w:pStyle w:val="NoSpacing"/>
              <w:rPr>
                <w:b/>
                <w:bCs/>
              </w:rPr>
            </w:pPr>
          </w:p>
        </w:tc>
        <w:tc>
          <w:tcPr>
            <w:tcW w:w="1028" w:type="dxa"/>
            <w:gridSpan w:val="2"/>
          </w:tcPr>
          <w:p w14:paraId="12E36C2C" w14:textId="77777777" w:rsidR="00067CE7" w:rsidRPr="004C7C81" w:rsidRDefault="00067CE7" w:rsidP="00584CFB">
            <w:pPr>
              <w:pStyle w:val="NoSpacing"/>
            </w:pPr>
          </w:p>
        </w:tc>
      </w:tr>
      <w:tr w:rsidR="00067CE7" w:rsidRPr="00241AF6" w14:paraId="2F688B20" w14:textId="77777777" w:rsidTr="00584CFB">
        <w:tc>
          <w:tcPr>
            <w:tcW w:w="9243" w:type="dxa"/>
            <w:gridSpan w:val="8"/>
            <w:shd w:val="clear" w:color="auto" w:fill="D9D9D9"/>
          </w:tcPr>
          <w:p w14:paraId="1FF5AFDE" w14:textId="54CF3229" w:rsidR="00067CE7" w:rsidRPr="0081520D" w:rsidRDefault="00067CE7" w:rsidP="00584CFB">
            <w:pPr>
              <w:rPr>
                <w:b/>
                <w:sz w:val="24"/>
                <w:szCs w:val="24"/>
              </w:rPr>
            </w:pPr>
            <w:r w:rsidRPr="0081520D">
              <w:rPr>
                <w:b/>
                <w:color w:val="000000"/>
                <w:sz w:val="24"/>
                <w:szCs w:val="24"/>
              </w:rPr>
              <w:t>Item</w:t>
            </w:r>
            <w:r w:rsidRPr="0081520D">
              <w:rPr>
                <w:b/>
                <w:sz w:val="24"/>
                <w:szCs w:val="24"/>
              </w:rPr>
              <w:t xml:space="preserve"> </w:t>
            </w:r>
            <w:r w:rsidR="00584CFB">
              <w:rPr>
                <w:b/>
                <w:sz w:val="24"/>
                <w:szCs w:val="24"/>
              </w:rPr>
              <w:t>15</w:t>
            </w:r>
            <w:r w:rsidRPr="0081520D">
              <w:rPr>
                <w:b/>
                <w:sz w:val="24"/>
                <w:szCs w:val="24"/>
              </w:rPr>
              <w:t>:</w:t>
            </w:r>
            <w:r w:rsidR="00584CFB">
              <w:rPr>
                <w:b/>
                <w:sz w:val="24"/>
                <w:szCs w:val="24"/>
              </w:rPr>
              <w:t xml:space="preserve">  </w:t>
            </w:r>
            <w:r w:rsidR="00D342FF">
              <w:rPr>
                <w:rFonts w:cs="Arial"/>
                <w:b/>
                <w:sz w:val="24"/>
                <w:szCs w:val="24"/>
              </w:rPr>
              <w:t xml:space="preserve">- </w:t>
            </w:r>
            <w:r w:rsidR="00D342FF" w:rsidRPr="00DE73D7">
              <w:rPr>
                <w:rFonts w:cs="Arial"/>
                <w:b/>
                <w:sz w:val="24"/>
                <w:szCs w:val="24"/>
              </w:rPr>
              <w:t>External</w:t>
            </w:r>
            <w:r w:rsidR="003B1852" w:rsidRPr="00DE73D7">
              <w:rPr>
                <w:rFonts w:cs="Arial"/>
                <w:b/>
                <w:sz w:val="24"/>
                <w:szCs w:val="24"/>
              </w:rPr>
              <w:t xml:space="preserve"> Audit Annual Pla</w:t>
            </w:r>
            <w:r w:rsidR="003B1852">
              <w:rPr>
                <w:rFonts w:cs="Arial"/>
                <w:b/>
                <w:sz w:val="24"/>
                <w:szCs w:val="24"/>
              </w:rPr>
              <w:t>n</w:t>
            </w:r>
          </w:p>
        </w:tc>
      </w:tr>
      <w:tr w:rsidR="00067CE7" w:rsidRPr="004C7C81" w14:paraId="58A7C3D2" w14:textId="77777777" w:rsidTr="00584CFB">
        <w:tc>
          <w:tcPr>
            <w:tcW w:w="988" w:type="dxa"/>
            <w:gridSpan w:val="3"/>
          </w:tcPr>
          <w:p w14:paraId="58AE1C4C" w14:textId="0E6CF71B" w:rsidR="00067CE7" w:rsidRPr="004C7C81" w:rsidRDefault="00584CFB" w:rsidP="00584CFB">
            <w:pPr>
              <w:pStyle w:val="NoSpacing"/>
            </w:pPr>
            <w:r w:rsidRPr="004C7C81">
              <w:t>15</w:t>
            </w:r>
          </w:p>
        </w:tc>
        <w:tc>
          <w:tcPr>
            <w:tcW w:w="7227" w:type="dxa"/>
            <w:gridSpan w:val="3"/>
          </w:tcPr>
          <w:p w14:paraId="73C5B6AA" w14:textId="6A82F9FC" w:rsidR="00D342FF" w:rsidRDefault="00D342FF" w:rsidP="00D342FF">
            <w:pPr>
              <w:pStyle w:val="NoSpacing"/>
            </w:pPr>
            <w:r w:rsidRPr="004C7C81">
              <w:t>The report was presented by the DoR and taken as read, with key highlights noted:</w:t>
            </w:r>
          </w:p>
          <w:p w14:paraId="06BCBE51" w14:textId="77777777" w:rsidR="00F60E64" w:rsidRPr="004C7C81" w:rsidRDefault="00F60E64" w:rsidP="00D342FF">
            <w:pPr>
              <w:pStyle w:val="NoSpacing"/>
            </w:pPr>
          </w:p>
          <w:p w14:paraId="6BB256A5" w14:textId="1A188B1D" w:rsidR="00D342FF" w:rsidRPr="004C7C81" w:rsidRDefault="00D342FF" w:rsidP="00D342FF">
            <w:pPr>
              <w:pStyle w:val="NoSpacing"/>
            </w:pPr>
            <w:r w:rsidRPr="004C7C81">
              <w:t xml:space="preserve">Forvis Mazars, as NPH External Auditors, annually present an Audit Strategy Memorandum detailing the approach and delivery of the year end audit and the completion of the consolidated statutory accounts for NPH and the statutory accounts for the subsidiary, HTH. This paper sets out the arrangements for external audit until the close of the 2026/27 accounts. </w:t>
            </w:r>
          </w:p>
          <w:p w14:paraId="1C8B700A" w14:textId="5627B427" w:rsidR="0027362C" w:rsidRPr="004C7C81" w:rsidRDefault="00D342FF" w:rsidP="00584CFB">
            <w:pPr>
              <w:pStyle w:val="NoSpacing"/>
            </w:pPr>
            <w:r w:rsidRPr="004C7C81">
              <w:lastRenderedPageBreak/>
              <w:t xml:space="preserve">The current external audit contract is due to expire in October 2026 and, with NPH likely to cease as an independent company within 12 months of that date, it is recommended that the contract with Forvis Mazars be extended to include the audit of the 2026/27 annual accounts. </w:t>
            </w:r>
          </w:p>
          <w:p w14:paraId="3EFFF88A" w14:textId="77777777" w:rsidR="00AD778A" w:rsidRPr="004C7C81" w:rsidRDefault="00AD778A" w:rsidP="00584CFB">
            <w:pPr>
              <w:pStyle w:val="NoSpacing"/>
            </w:pPr>
          </w:p>
          <w:p w14:paraId="47E3AEE4" w14:textId="3A343DD9" w:rsidR="00D342FF" w:rsidRPr="004C7C81" w:rsidRDefault="00D342FF" w:rsidP="00D342FF">
            <w:pPr>
              <w:rPr>
                <w:b/>
                <w:bCs/>
                <w:color w:val="000000"/>
              </w:rPr>
            </w:pPr>
            <w:r w:rsidRPr="004C7C81">
              <w:rPr>
                <w:color w:val="000000"/>
              </w:rPr>
              <w:t>Th</w:t>
            </w:r>
            <w:r w:rsidR="004C7C81">
              <w:rPr>
                <w:color w:val="000000"/>
              </w:rPr>
              <w:t>e</w:t>
            </w:r>
            <w:r w:rsidRPr="004C7C81">
              <w:rPr>
                <w:color w:val="000000"/>
              </w:rPr>
              <w:t xml:space="preserve"> Board: </w:t>
            </w:r>
          </w:p>
          <w:p w14:paraId="04B92FBB" w14:textId="7A4A09B1" w:rsidR="00D342FF" w:rsidRPr="004C7C81" w:rsidRDefault="00D342FF" w:rsidP="004C7C81">
            <w:pPr>
              <w:pStyle w:val="NoSpacing"/>
              <w:numPr>
                <w:ilvl w:val="0"/>
                <w:numId w:val="16"/>
              </w:numPr>
            </w:pPr>
            <w:r w:rsidRPr="004C7C81">
              <w:rPr>
                <w:rFonts w:cs="Calibri"/>
              </w:rPr>
              <w:t>Approve</w:t>
            </w:r>
            <w:r w:rsidR="004C7C81">
              <w:rPr>
                <w:rFonts w:cs="Calibri"/>
              </w:rPr>
              <w:t>d</w:t>
            </w:r>
            <w:r w:rsidRPr="004C7C81">
              <w:rPr>
                <w:color w:val="000000"/>
              </w:rPr>
              <w:t xml:space="preserve"> the External Audit Plan</w:t>
            </w:r>
          </w:p>
          <w:p w14:paraId="4F68D6AD" w14:textId="0522DCC4" w:rsidR="00D342FF" w:rsidRPr="004C7C81" w:rsidRDefault="00D342FF" w:rsidP="004C7C81">
            <w:pPr>
              <w:pStyle w:val="NoSpacing"/>
              <w:numPr>
                <w:ilvl w:val="0"/>
                <w:numId w:val="16"/>
              </w:numPr>
            </w:pPr>
            <w:r w:rsidRPr="004C7C81">
              <w:rPr>
                <w:color w:val="000000"/>
              </w:rPr>
              <w:t>Note</w:t>
            </w:r>
            <w:r w:rsidR="004C7C81">
              <w:rPr>
                <w:color w:val="000000"/>
              </w:rPr>
              <w:t>d</w:t>
            </w:r>
            <w:r w:rsidRPr="004C7C81">
              <w:rPr>
                <w:color w:val="000000"/>
              </w:rPr>
              <w:t xml:space="preserve"> the intention to extend the contract of the external auditors until the</w:t>
            </w:r>
            <w:r w:rsidR="004C7C81" w:rsidRPr="004C7C81">
              <w:t xml:space="preserve"> expected closure of the organisation in 2027</w:t>
            </w:r>
            <w:r w:rsidR="004C7C81">
              <w:rPr>
                <w:color w:val="000000"/>
              </w:rPr>
              <w:t xml:space="preserve">. </w:t>
            </w:r>
            <w:r w:rsidR="004C7C81" w:rsidRPr="004C7C81">
              <w:t>The Board approved the proposal</w:t>
            </w:r>
          </w:p>
          <w:p w14:paraId="2A806900" w14:textId="1B4D8670" w:rsidR="0027362C" w:rsidRPr="004C7C81" w:rsidRDefault="0027362C" w:rsidP="00584CFB">
            <w:pPr>
              <w:pStyle w:val="NoSpacing"/>
              <w:rPr>
                <w:b/>
                <w:bCs/>
              </w:rPr>
            </w:pPr>
          </w:p>
        </w:tc>
        <w:tc>
          <w:tcPr>
            <w:tcW w:w="1028" w:type="dxa"/>
            <w:gridSpan w:val="2"/>
          </w:tcPr>
          <w:p w14:paraId="1B48F33A" w14:textId="77777777" w:rsidR="00067CE7" w:rsidRPr="004C7C81" w:rsidRDefault="00067CE7" w:rsidP="00584CFB">
            <w:pPr>
              <w:pStyle w:val="NoSpacing"/>
            </w:pPr>
          </w:p>
        </w:tc>
      </w:tr>
      <w:tr w:rsidR="00067CE7" w:rsidRPr="00241AF6" w14:paraId="05B29E60" w14:textId="77777777" w:rsidTr="00584CFB">
        <w:tc>
          <w:tcPr>
            <w:tcW w:w="9243" w:type="dxa"/>
            <w:gridSpan w:val="8"/>
            <w:shd w:val="clear" w:color="auto" w:fill="D9D9D9"/>
          </w:tcPr>
          <w:p w14:paraId="371041A1" w14:textId="2408F9B5" w:rsidR="00067CE7" w:rsidRPr="0081520D" w:rsidRDefault="00067CE7" w:rsidP="00584CFB">
            <w:pPr>
              <w:rPr>
                <w:b/>
                <w:sz w:val="24"/>
                <w:szCs w:val="24"/>
              </w:rPr>
            </w:pPr>
            <w:r w:rsidRPr="0081520D">
              <w:rPr>
                <w:b/>
                <w:color w:val="000000"/>
                <w:sz w:val="24"/>
                <w:szCs w:val="24"/>
              </w:rPr>
              <w:t>Item</w:t>
            </w:r>
            <w:r w:rsidRPr="0081520D">
              <w:rPr>
                <w:b/>
                <w:sz w:val="24"/>
                <w:szCs w:val="24"/>
              </w:rPr>
              <w:t xml:space="preserve"> </w:t>
            </w:r>
            <w:r w:rsidR="00584CFB">
              <w:rPr>
                <w:b/>
                <w:sz w:val="24"/>
                <w:szCs w:val="24"/>
              </w:rPr>
              <w:t>16</w:t>
            </w:r>
            <w:r w:rsidRPr="0081520D">
              <w:rPr>
                <w:b/>
                <w:sz w:val="24"/>
                <w:szCs w:val="24"/>
              </w:rPr>
              <w:t>:</w:t>
            </w:r>
            <w:r w:rsidR="00584CFB">
              <w:rPr>
                <w:b/>
                <w:sz w:val="24"/>
                <w:szCs w:val="24"/>
              </w:rPr>
              <w:t xml:space="preserve">  </w:t>
            </w:r>
            <w:r w:rsidR="00AE73E4" w:rsidRPr="00DE73D7">
              <w:rPr>
                <w:rFonts w:cs="Arial"/>
                <w:b/>
                <w:sz w:val="24"/>
                <w:szCs w:val="24"/>
              </w:rPr>
              <w:t xml:space="preserve"> Strategic Risk Register</w:t>
            </w:r>
          </w:p>
        </w:tc>
      </w:tr>
      <w:tr w:rsidR="00AE73E4" w:rsidRPr="004C7C81" w14:paraId="4A3A41B9" w14:textId="77777777" w:rsidTr="00F63DE5">
        <w:tc>
          <w:tcPr>
            <w:tcW w:w="988" w:type="dxa"/>
            <w:gridSpan w:val="3"/>
            <w:shd w:val="clear" w:color="auto" w:fill="FFFFFF"/>
          </w:tcPr>
          <w:p w14:paraId="3473F650" w14:textId="77777777" w:rsidR="00AE73E4" w:rsidRPr="004C7C81" w:rsidRDefault="00AE73E4" w:rsidP="00AE73E4">
            <w:pPr>
              <w:pStyle w:val="NoSpacing"/>
            </w:pPr>
            <w:r w:rsidRPr="004C7C81">
              <w:t>16</w:t>
            </w:r>
          </w:p>
        </w:tc>
        <w:tc>
          <w:tcPr>
            <w:tcW w:w="7227" w:type="dxa"/>
            <w:gridSpan w:val="3"/>
          </w:tcPr>
          <w:p w14:paraId="5025C991" w14:textId="596CF4AA" w:rsidR="005A20AD" w:rsidRDefault="005A20AD" w:rsidP="005A20AD">
            <w:pPr>
              <w:pStyle w:val="NoSpacing"/>
            </w:pPr>
            <w:r w:rsidRPr="004C7C81">
              <w:t xml:space="preserve">The report was presented by the </w:t>
            </w:r>
            <w:r w:rsidR="005E6325">
              <w:t>HoRG</w:t>
            </w:r>
            <w:r w:rsidRPr="004C7C81">
              <w:t xml:space="preserve"> and taken as read, with key highlights noted:</w:t>
            </w:r>
          </w:p>
          <w:p w14:paraId="01E899AF" w14:textId="77777777" w:rsidR="00F60E64" w:rsidRPr="004C7C81" w:rsidRDefault="00F60E64" w:rsidP="005A20AD">
            <w:pPr>
              <w:pStyle w:val="NoSpacing"/>
            </w:pPr>
          </w:p>
          <w:p w14:paraId="19D3E44C" w14:textId="4070F776" w:rsidR="005A20AD" w:rsidRPr="004C7C81" w:rsidRDefault="005A20AD" w:rsidP="005A20AD">
            <w:pPr>
              <w:pStyle w:val="NoSpacing"/>
            </w:pPr>
            <w:r w:rsidRPr="004C7C81">
              <w:t>Th</w:t>
            </w:r>
            <w:r w:rsidR="004C7C81">
              <w:t>e</w:t>
            </w:r>
            <w:r w:rsidRPr="004C7C81">
              <w:t xml:space="preserve"> report provide</w:t>
            </w:r>
            <w:r w:rsidR="004C7C81">
              <w:t>d</w:t>
            </w:r>
            <w:r w:rsidRPr="004C7C81">
              <w:t xml:space="preserve"> the Board with an update on NPH’s strategic risks as of 31 December 2025 and the actions being taken to manage those risks.</w:t>
            </w:r>
          </w:p>
          <w:p w14:paraId="39C6E560" w14:textId="48D23FF6" w:rsidR="004E24BF" w:rsidRDefault="005A20AD" w:rsidP="004C7C81">
            <w:pPr>
              <w:pStyle w:val="NoSpacing"/>
            </w:pPr>
            <w:r w:rsidRPr="004C7C81">
              <w:t xml:space="preserve">There are no recommended changes to risk scores, but there has been some movement as actions have been completed which have strengthened controls. </w:t>
            </w:r>
          </w:p>
          <w:p w14:paraId="4232A874" w14:textId="77777777" w:rsidR="004C7C81" w:rsidRPr="004C7C81" w:rsidRDefault="004C7C81" w:rsidP="004C7C81">
            <w:pPr>
              <w:pStyle w:val="NoSpacing"/>
            </w:pPr>
          </w:p>
          <w:p w14:paraId="68FA8748" w14:textId="77777777" w:rsidR="004E24BF" w:rsidRPr="004C7C81" w:rsidRDefault="004E24BF" w:rsidP="004E24BF">
            <w:r w:rsidRPr="004C7C81">
              <w:t xml:space="preserve">The Board Members discussed key risks in detail, particularly staffing risks highlighted by recent resignations and recruitment challenges associated with transition. The Board Members emphasised the urgency of securing Council commitments regarding future structures, retention, and continuity given that the risk of losing staff is crystalising with Phase 1 of the TUPE transfer. </w:t>
            </w:r>
          </w:p>
          <w:p w14:paraId="55F869E2" w14:textId="26173393" w:rsidR="004E24BF" w:rsidRPr="004C7C81" w:rsidRDefault="004C7C81" w:rsidP="004E24BF">
            <w:r>
              <w:t xml:space="preserve">An </w:t>
            </w:r>
            <w:r w:rsidR="004E24BF" w:rsidRPr="004C7C81">
              <w:t>Officer confirmed there has been less than satisfactory ongoing dialogue</w:t>
            </w:r>
            <w:r>
              <w:t xml:space="preserve"> between</w:t>
            </w:r>
            <w:r w:rsidR="004E24BF" w:rsidRPr="004C7C81">
              <w:t xml:space="preserve"> WNC</w:t>
            </w:r>
            <w:r>
              <w:t xml:space="preserve"> and NPH Senior Officers</w:t>
            </w:r>
            <w:r w:rsidR="004E24BF" w:rsidRPr="004C7C81">
              <w:t xml:space="preserve"> and therefore there is a need for accelerated decisions and clear communication of </w:t>
            </w:r>
            <w:r>
              <w:t xml:space="preserve">future </w:t>
            </w:r>
            <w:r w:rsidR="004E24BF" w:rsidRPr="004C7C81">
              <w:t>intention</w:t>
            </w:r>
            <w:r>
              <w:t>s</w:t>
            </w:r>
            <w:r w:rsidR="004E24BF" w:rsidRPr="004C7C81">
              <w:t xml:space="preserve"> relating to specific roles.</w:t>
            </w:r>
          </w:p>
          <w:p w14:paraId="37B2F110" w14:textId="42DE237C" w:rsidR="004E24BF" w:rsidRPr="004C7C81" w:rsidRDefault="004E24BF" w:rsidP="004E24BF">
            <w:pPr>
              <w:pStyle w:val="NoSpacing"/>
            </w:pPr>
            <w:r w:rsidRPr="004C7C81">
              <w:rPr>
                <w:b/>
                <w:bCs/>
              </w:rPr>
              <w:t>Action:</w:t>
            </w:r>
            <w:r w:rsidRPr="004C7C81">
              <w:t xml:space="preserve"> The Chair will raise the crystallisation of the risk of losing key staff with the WNC Director of Communities and Opportunities on 16 February 2026</w:t>
            </w:r>
            <w:r w:rsidR="0016521D" w:rsidRPr="004C7C81">
              <w:t xml:space="preserve"> and request clarity on how any vacancies will be addressed.</w:t>
            </w:r>
          </w:p>
          <w:p w14:paraId="625A2EE0" w14:textId="31A41C26" w:rsidR="004523CB" w:rsidRPr="004C7C81" w:rsidRDefault="004523CB" w:rsidP="00AE73E4">
            <w:pPr>
              <w:pStyle w:val="NoSpacing"/>
            </w:pPr>
          </w:p>
          <w:p w14:paraId="1A7BE82D" w14:textId="4AD6F9B9" w:rsidR="005A20AD" w:rsidRPr="004C7C81" w:rsidRDefault="005A20AD" w:rsidP="005A20AD">
            <w:pPr>
              <w:rPr>
                <w:b/>
                <w:bCs/>
                <w:color w:val="000000"/>
              </w:rPr>
            </w:pPr>
            <w:r w:rsidRPr="004C7C81">
              <w:rPr>
                <w:color w:val="000000"/>
              </w:rPr>
              <w:t>Th</w:t>
            </w:r>
            <w:r w:rsidR="005C6938">
              <w:rPr>
                <w:color w:val="000000"/>
              </w:rPr>
              <w:t>e</w:t>
            </w:r>
            <w:r w:rsidRPr="004C7C81">
              <w:rPr>
                <w:color w:val="000000"/>
              </w:rPr>
              <w:t xml:space="preserve"> Board: </w:t>
            </w:r>
          </w:p>
          <w:p w14:paraId="48B15696" w14:textId="77155EF3" w:rsidR="00AE73E4" w:rsidRPr="004C7C81" w:rsidRDefault="005A20AD" w:rsidP="005C6938">
            <w:pPr>
              <w:pStyle w:val="NoSpacing"/>
              <w:numPr>
                <w:ilvl w:val="0"/>
                <w:numId w:val="16"/>
              </w:numPr>
            </w:pPr>
            <w:r w:rsidRPr="004C7C81">
              <w:rPr>
                <w:color w:val="000000"/>
              </w:rPr>
              <w:t>note</w:t>
            </w:r>
            <w:r w:rsidR="00E53744">
              <w:rPr>
                <w:color w:val="000000"/>
              </w:rPr>
              <w:t>d</w:t>
            </w:r>
            <w:r w:rsidRPr="004C7C81">
              <w:rPr>
                <w:color w:val="000000"/>
              </w:rPr>
              <w:t xml:space="preserve"> the content of the report</w:t>
            </w:r>
          </w:p>
          <w:p w14:paraId="5653970D" w14:textId="77777777" w:rsidR="00AE73E4" w:rsidRPr="004C7C81" w:rsidRDefault="00AE73E4" w:rsidP="00AE73E4">
            <w:pPr>
              <w:pStyle w:val="NoSpacing"/>
              <w:rPr>
                <w:b/>
                <w:bCs/>
              </w:rPr>
            </w:pPr>
          </w:p>
        </w:tc>
        <w:tc>
          <w:tcPr>
            <w:tcW w:w="1028" w:type="dxa"/>
            <w:gridSpan w:val="2"/>
          </w:tcPr>
          <w:p w14:paraId="366099C1" w14:textId="77777777" w:rsidR="00AE73E4" w:rsidRPr="004C7C81" w:rsidRDefault="00AE73E4" w:rsidP="00AE73E4">
            <w:pPr>
              <w:pStyle w:val="NoSpacing"/>
            </w:pPr>
          </w:p>
          <w:p w14:paraId="55C81B8E" w14:textId="77777777" w:rsidR="0016521D" w:rsidRPr="004C7C81" w:rsidRDefault="0016521D" w:rsidP="00AE73E4">
            <w:pPr>
              <w:pStyle w:val="NoSpacing"/>
            </w:pPr>
          </w:p>
          <w:p w14:paraId="427B1703" w14:textId="77777777" w:rsidR="0016521D" w:rsidRPr="004C7C81" w:rsidRDefault="0016521D" w:rsidP="00AE73E4">
            <w:pPr>
              <w:pStyle w:val="NoSpacing"/>
            </w:pPr>
          </w:p>
          <w:p w14:paraId="229FB623" w14:textId="77777777" w:rsidR="0016521D" w:rsidRPr="004C7C81" w:rsidRDefault="0016521D" w:rsidP="00AE73E4">
            <w:pPr>
              <w:pStyle w:val="NoSpacing"/>
            </w:pPr>
          </w:p>
          <w:p w14:paraId="7FDE1BB9" w14:textId="77777777" w:rsidR="0016521D" w:rsidRPr="004C7C81" w:rsidRDefault="0016521D" w:rsidP="00AE73E4">
            <w:pPr>
              <w:pStyle w:val="NoSpacing"/>
            </w:pPr>
          </w:p>
          <w:p w14:paraId="0A4DE346" w14:textId="77777777" w:rsidR="0016521D" w:rsidRPr="004C7C81" w:rsidRDefault="0016521D" w:rsidP="00AE73E4">
            <w:pPr>
              <w:pStyle w:val="NoSpacing"/>
            </w:pPr>
          </w:p>
          <w:p w14:paraId="56C274BD" w14:textId="77777777" w:rsidR="0016521D" w:rsidRPr="004C7C81" w:rsidRDefault="0016521D" w:rsidP="00AE73E4">
            <w:pPr>
              <w:pStyle w:val="NoSpacing"/>
            </w:pPr>
          </w:p>
          <w:p w14:paraId="525DD41B" w14:textId="77777777" w:rsidR="0016521D" w:rsidRPr="004C7C81" w:rsidRDefault="0016521D" w:rsidP="00AE73E4">
            <w:pPr>
              <w:pStyle w:val="NoSpacing"/>
            </w:pPr>
          </w:p>
          <w:p w14:paraId="135EA9F9" w14:textId="77777777" w:rsidR="0016521D" w:rsidRPr="004C7C81" w:rsidRDefault="0016521D" w:rsidP="00AE73E4">
            <w:pPr>
              <w:pStyle w:val="NoSpacing"/>
            </w:pPr>
          </w:p>
          <w:p w14:paraId="1B664226" w14:textId="77777777" w:rsidR="0016521D" w:rsidRPr="004C7C81" w:rsidRDefault="0016521D" w:rsidP="00AE73E4">
            <w:pPr>
              <w:pStyle w:val="NoSpacing"/>
            </w:pPr>
          </w:p>
          <w:p w14:paraId="6E7FBF87" w14:textId="77777777" w:rsidR="0016521D" w:rsidRPr="004C7C81" w:rsidRDefault="0016521D" w:rsidP="00AE73E4">
            <w:pPr>
              <w:pStyle w:val="NoSpacing"/>
            </w:pPr>
          </w:p>
          <w:p w14:paraId="782F2926" w14:textId="77777777" w:rsidR="0016521D" w:rsidRPr="004C7C81" w:rsidRDefault="0016521D" w:rsidP="00AE73E4">
            <w:pPr>
              <w:pStyle w:val="NoSpacing"/>
            </w:pPr>
          </w:p>
          <w:p w14:paraId="7A42B40F" w14:textId="77777777" w:rsidR="0016521D" w:rsidRPr="004C7C81" w:rsidRDefault="0016521D" w:rsidP="00AE73E4">
            <w:pPr>
              <w:pStyle w:val="NoSpacing"/>
            </w:pPr>
          </w:p>
          <w:p w14:paraId="38B25901" w14:textId="77777777" w:rsidR="0016521D" w:rsidRPr="004C7C81" w:rsidRDefault="0016521D" w:rsidP="00AE73E4">
            <w:pPr>
              <w:pStyle w:val="NoSpacing"/>
            </w:pPr>
          </w:p>
          <w:p w14:paraId="7299086C" w14:textId="77777777" w:rsidR="0016521D" w:rsidRPr="004C7C81" w:rsidRDefault="0016521D" w:rsidP="00AE73E4">
            <w:pPr>
              <w:pStyle w:val="NoSpacing"/>
            </w:pPr>
          </w:p>
          <w:p w14:paraId="36D234A9" w14:textId="77777777" w:rsidR="0016521D" w:rsidRPr="004C7C81" w:rsidRDefault="0016521D" w:rsidP="00AE73E4">
            <w:pPr>
              <w:pStyle w:val="NoSpacing"/>
            </w:pPr>
          </w:p>
          <w:p w14:paraId="27595BC4" w14:textId="77777777" w:rsidR="0016521D" w:rsidRPr="004C7C81" w:rsidRDefault="0016521D" w:rsidP="00AE73E4">
            <w:pPr>
              <w:pStyle w:val="NoSpacing"/>
            </w:pPr>
          </w:p>
          <w:p w14:paraId="001BA0B5" w14:textId="77777777" w:rsidR="0016521D" w:rsidRPr="004C7C81" w:rsidRDefault="0016521D" w:rsidP="00AE73E4">
            <w:pPr>
              <w:pStyle w:val="NoSpacing"/>
            </w:pPr>
          </w:p>
          <w:p w14:paraId="3BCFBA32" w14:textId="77777777" w:rsidR="0016521D" w:rsidRPr="004C7C81" w:rsidRDefault="0016521D" w:rsidP="00AE73E4">
            <w:pPr>
              <w:pStyle w:val="NoSpacing"/>
            </w:pPr>
          </w:p>
          <w:p w14:paraId="0D708B1C" w14:textId="77777777" w:rsidR="0016521D" w:rsidRPr="004C7C81" w:rsidRDefault="0016521D" w:rsidP="00AE73E4">
            <w:pPr>
              <w:pStyle w:val="NoSpacing"/>
            </w:pPr>
          </w:p>
          <w:p w14:paraId="39054AF7" w14:textId="77777777" w:rsidR="005C6938" w:rsidRDefault="005C6938" w:rsidP="00AE73E4">
            <w:pPr>
              <w:pStyle w:val="NoSpacing"/>
            </w:pPr>
          </w:p>
          <w:p w14:paraId="5FD6B067" w14:textId="4F7E3D5F" w:rsidR="0016521D" w:rsidRPr="004C7C81" w:rsidRDefault="0016521D" w:rsidP="00AE73E4">
            <w:pPr>
              <w:pStyle w:val="NoSpacing"/>
            </w:pPr>
            <w:r w:rsidRPr="004C7C81">
              <w:t>AE</w:t>
            </w:r>
          </w:p>
        </w:tc>
      </w:tr>
      <w:tr w:rsidR="00AE73E4" w:rsidRPr="00241AF6" w14:paraId="27534E19" w14:textId="77777777" w:rsidTr="00584CFB">
        <w:tc>
          <w:tcPr>
            <w:tcW w:w="9243" w:type="dxa"/>
            <w:gridSpan w:val="8"/>
            <w:shd w:val="clear" w:color="auto" w:fill="D9D9D9"/>
          </w:tcPr>
          <w:p w14:paraId="79254EF7" w14:textId="67CDA77C" w:rsidR="00AE73E4" w:rsidRPr="0081520D" w:rsidRDefault="00AE73E4" w:rsidP="00584CFB">
            <w:pPr>
              <w:rPr>
                <w:b/>
                <w:color w:val="000000"/>
                <w:sz w:val="24"/>
                <w:szCs w:val="24"/>
              </w:rPr>
            </w:pPr>
            <w:r w:rsidRPr="0081520D">
              <w:rPr>
                <w:b/>
                <w:color w:val="000000"/>
                <w:sz w:val="24"/>
                <w:szCs w:val="24"/>
              </w:rPr>
              <w:t>Item</w:t>
            </w:r>
            <w:r w:rsidRPr="0081520D">
              <w:rPr>
                <w:b/>
                <w:sz w:val="24"/>
                <w:szCs w:val="24"/>
              </w:rPr>
              <w:t xml:space="preserve"> </w:t>
            </w:r>
            <w:r>
              <w:rPr>
                <w:b/>
                <w:sz w:val="24"/>
                <w:szCs w:val="24"/>
              </w:rPr>
              <w:t>17</w:t>
            </w:r>
            <w:r w:rsidRPr="0081520D">
              <w:rPr>
                <w:b/>
                <w:sz w:val="24"/>
                <w:szCs w:val="24"/>
              </w:rPr>
              <w:t>:</w:t>
            </w:r>
            <w:r>
              <w:rPr>
                <w:b/>
                <w:sz w:val="24"/>
                <w:szCs w:val="24"/>
              </w:rPr>
              <w:t xml:space="preserve">  </w:t>
            </w:r>
            <w:r w:rsidRPr="00DE73D7">
              <w:rPr>
                <w:rFonts w:cs="Arial"/>
                <w:b/>
                <w:sz w:val="24"/>
                <w:szCs w:val="24"/>
              </w:rPr>
              <w:t xml:space="preserve">  Policy Approvals</w:t>
            </w:r>
          </w:p>
        </w:tc>
      </w:tr>
      <w:tr w:rsidR="00067CE7" w:rsidRPr="005C6938" w14:paraId="0593BAF7" w14:textId="77777777" w:rsidTr="00584CFB">
        <w:tc>
          <w:tcPr>
            <w:tcW w:w="988" w:type="dxa"/>
            <w:gridSpan w:val="3"/>
            <w:shd w:val="clear" w:color="auto" w:fill="FFFFFF"/>
          </w:tcPr>
          <w:p w14:paraId="30727708" w14:textId="10286B0C" w:rsidR="00067CE7" w:rsidRPr="005C6938" w:rsidRDefault="00584CFB" w:rsidP="00584CFB">
            <w:pPr>
              <w:pStyle w:val="NoSpacing"/>
            </w:pPr>
            <w:bookmarkStart w:id="3" w:name="_Hlk221624647"/>
            <w:r w:rsidRPr="005C6938">
              <w:t>1</w:t>
            </w:r>
            <w:r w:rsidR="00AE73E4" w:rsidRPr="005C6938">
              <w:t>7</w:t>
            </w:r>
          </w:p>
        </w:tc>
        <w:tc>
          <w:tcPr>
            <w:tcW w:w="7227" w:type="dxa"/>
            <w:gridSpan w:val="3"/>
          </w:tcPr>
          <w:p w14:paraId="665BDF45" w14:textId="3CFC10F0" w:rsidR="00067CE7" w:rsidRPr="005C6938" w:rsidRDefault="005A20AD" w:rsidP="00584CFB">
            <w:pPr>
              <w:pStyle w:val="NoSpacing"/>
            </w:pPr>
            <w:r w:rsidRPr="005C6938">
              <w:t>The policies were presented by the DoR for approval.</w:t>
            </w:r>
          </w:p>
          <w:p w14:paraId="30F956D9" w14:textId="68858AE9" w:rsidR="00F82B0F" w:rsidRPr="005C6938" w:rsidRDefault="00F82B0F" w:rsidP="00584CFB">
            <w:pPr>
              <w:pStyle w:val="NoSpacing"/>
            </w:pPr>
          </w:p>
          <w:p w14:paraId="023C8C51" w14:textId="3FBC0D57" w:rsidR="005A20AD" w:rsidRPr="005C6938" w:rsidRDefault="005A20AD" w:rsidP="00DC4FDF">
            <w:pPr>
              <w:pStyle w:val="NoSpacing"/>
              <w:numPr>
                <w:ilvl w:val="0"/>
                <w:numId w:val="19"/>
              </w:numPr>
              <w:ind w:hanging="397"/>
            </w:pPr>
            <w:r w:rsidRPr="005C6938">
              <w:t>Damp, Mould and Condensation Policy</w:t>
            </w:r>
          </w:p>
          <w:p w14:paraId="67DFB11A" w14:textId="393B6AA6" w:rsidR="005A20AD" w:rsidRPr="005C6938" w:rsidRDefault="005A20AD" w:rsidP="00DC4FDF">
            <w:pPr>
              <w:pStyle w:val="NoSpacing"/>
              <w:numPr>
                <w:ilvl w:val="0"/>
                <w:numId w:val="19"/>
              </w:numPr>
              <w:ind w:hanging="397"/>
            </w:pPr>
            <w:r w:rsidRPr="005C6938">
              <w:lastRenderedPageBreak/>
              <w:t>Mutual Exchange Policy</w:t>
            </w:r>
          </w:p>
          <w:p w14:paraId="0B9A1CB3" w14:textId="3E305131" w:rsidR="005A20AD" w:rsidRPr="005C6938" w:rsidRDefault="005A20AD" w:rsidP="00DC4FDF">
            <w:pPr>
              <w:pStyle w:val="NoSpacing"/>
              <w:numPr>
                <w:ilvl w:val="0"/>
                <w:numId w:val="19"/>
              </w:numPr>
              <w:ind w:hanging="397"/>
            </w:pPr>
            <w:r w:rsidRPr="005C6938">
              <w:t>Recharge Policy</w:t>
            </w:r>
          </w:p>
          <w:p w14:paraId="324BB8E0" w14:textId="77777777" w:rsidR="005A20AD" w:rsidRPr="005C6938" w:rsidRDefault="005A20AD" w:rsidP="005A20AD">
            <w:pPr>
              <w:pStyle w:val="NoSpacing"/>
            </w:pPr>
          </w:p>
          <w:p w14:paraId="1E00258B" w14:textId="0D6ED232" w:rsidR="005A20AD" w:rsidRPr="005C6938" w:rsidRDefault="005A20AD" w:rsidP="005A20AD">
            <w:pPr>
              <w:rPr>
                <w:color w:val="000000"/>
              </w:rPr>
            </w:pPr>
            <w:r w:rsidRPr="005C6938">
              <w:rPr>
                <w:color w:val="000000"/>
              </w:rPr>
              <w:t>Th</w:t>
            </w:r>
            <w:r w:rsidR="005C6938">
              <w:rPr>
                <w:color w:val="000000"/>
              </w:rPr>
              <w:t>e</w:t>
            </w:r>
            <w:r w:rsidRPr="005C6938">
              <w:rPr>
                <w:color w:val="000000"/>
              </w:rPr>
              <w:t xml:space="preserve"> Board: </w:t>
            </w:r>
          </w:p>
          <w:p w14:paraId="658811C1" w14:textId="60474C4B" w:rsidR="005C6938" w:rsidRDefault="005A20AD" w:rsidP="00DC5591">
            <w:pPr>
              <w:pStyle w:val="NoSpacing"/>
              <w:numPr>
                <w:ilvl w:val="0"/>
                <w:numId w:val="16"/>
              </w:numPr>
            </w:pPr>
            <w:r w:rsidRPr="005C6938">
              <w:t>consider</w:t>
            </w:r>
            <w:r w:rsidR="005C6938">
              <w:t>ed</w:t>
            </w:r>
            <w:r w:rsidRPr="005C6938">
              <w:t xml:space="preserve"> and approve</w:t>
            </w:r>
            <w:r w:rsidR="005C6938">
              <w:t>d</w:t>
            </w:r>
            <w:r w:rsidRPr="005C6938">
              <w:t xml:space="preserve"> the draft Damp, Mould and Condensation Policy and recommend</w:t>
            </w:r>
            <w:r w:rsidR="005C6938">
              <w:t>ed</w:t>
            </w:r>
            <w:r w:rsidRPr="005C6938">
              <w:t xml:space="preserve"> it to WNC for final sign off.  </w:t>
            </w:r>
          </w:p>
          <w:p w14:paraId="41553AF5" w14:textId="45B4E99E" w:rsidR="005C6938" w:rsidRDefault="005C6938" w:rsidP="00DC5591">
            <w:pPr>
              <w:pStyle w:val="NoSpacing"/>
              <w:numPr>
                <w:ilvl w:val="0"/>
                <w:numId w:val="16"/>
              </w:numPr>
            </w:pPr>
            <w:r w:rsidRPr="005C6938">
              <w:t>The Board Members approved the Mutual Exchange Policy</w:t>
            </w:r>
            <w:r>
              <w:t xml:space="preserve">. </w:t>
            </w:r>
            <w:r w:rsidR="004523CB" w:rsidRPr="005C6938">
              <w:t>Updated with new responsibilities around Awaab’s law</w:t>
            </w:r>
            <w:r w:rsidR="00054EC1" w:rsidRPr="005C6938">
              <w:t>,</w:t>
            </w:r>
            <w:r w:rsidR="004523CB" w:rsidRPr="005C6938">
              <w:t xml:space="preserve"> cost neutral exchanges</w:t>
            </w:r>
            <w:r w:rsidR="00054EC1" w:rsidRPr="005C6938">
              <w:t xml:space="preserve"> and </w:t>
            </w:r>
            <w:r w:rsidR="004523CB" w:rsidRPr="005C6938">
              <w:t>legislative requirement</w:t>
            </w:r>
            <w:r w:rsidR="00054EC1" w:rsidRPr="005C6938">
              <w:t xml:space="preserve">s. The </w:t>
            </w:r>
            <w:r w:rsidR="004523CB" w:rsidRPr="005C6938">
              <w:t>impact around</w:t>
            </w:r>
            <w:r w:rsidR="00054EC1" w:rsidRPr="005C6938">
              <w:t xml:space="preserve"> the</w:t>
            </w:r>
            <w:r w:rsidR="004523CB" w:rsidRPr="005C6938">
              <w:t xml:space="preserve"> cost element</w:t>
            </w:r>
            <w:r w:rsidR="00054EC1" w:rsidRPr="005C6938">
              <w:t xml:space="preserve"> will be looked at</w:t>
            </w:r>
            <w:r w:rsidR="004523CB" w:rsidRPr="005C6938">
              <w:t xml:space="preserve"> in the future</w:t>
            </w:r>
          </w:p>
          <w:p w14:paraId="0591B08B" w14:textId="77777777" w:rsidR="00DC5591" w:rsidRDefault="00DC5591" w:rsidP="00DC5591">
            <w:pPr>
              <w:pStyle w:val="NoSpacing"/>
              <w:ind w:left="720"/>
            </w:pPr>
          </w:p>
          <w:p w14:paraId="5293D8F8" w14:textId="797BC958" w:rsidR="005C6938" w:rsidRDefault="005C6938" w:rsidP="005C6938">
            <w:r w:rsidRPr="005C6938">
              <w:t>The Board Members discussed enforcement challenges for recharges, the capacity of teams to support collection, and the importance of equitable application</w:t>
            </w:r>
            <w:r>
              <w:t>.</w:t>
            </w:r>
          </w:p>
          <w:p w14:paraId="235EE799" w14:textId="77777777" w:rsidR="00081D5E" w:rsidRPr="00DC5591" w:rsidRDefault="005A20AD" w:rsidP="005C6938">
            <w:pPr>
              <w:pStyle w:val="NoSpacing"/>
              <w:numPr>
                <w:ilvl w:val="0"/>
                <w:numId w:val="16"/>
              </w:numPr>
            </w:pPr>
            <w:r w:rsidRPr="005C6938">
              <w:t>Scrutinise</w:t>
            </w:r>
            <w:r w:rsidR="005C6938">
              <w:t>d</w:t>
            </w:r>
            <w:r w:rsidRPr="005C6938">
              <w:rPr>
                <w:rFonts w:asciiTheme="minorHAnsi" w:eastAsiaTheme="minorHAnsi" w:hAnsiTheme="minorHAnsi" w:cstheme="minorBidi"/>
                <w:color w:val="000000" w:themeColor="text1"/>
              </w:rPr>
              <w:t xml:space="preserve"> the proposed recharges policy and provide</w:t>
            </w:r>
            <w:r w:rsidR="005C6938">
              <w:rPr>
                <w:rFonts w:asciiTheme="minorHAnsi" w:eastAsiaTheme="minorHAnsi" w:hAnsiTheme="minorHAnsi" w:cstheme="minorBidi"/>
                <w:color w:val="000000" w:themeColor="text1"/>
              </w:rPr>
              <w:t>d</w:t>
            </w:r>
            <w:r w:rsidRPr="005C6938">
              <w:rPr>
                <w:rFonts w:asciiTheme="minorHAnsi" w:eastAsiaTheme="minorHAnsi" w:hAnsiTheme="minorHAnsi" w:cstheme="minorBidi"/>
                <w:color w:val="000000" w:themeColor="text1"/>
              </w:rPr>
              <w:t xml:space="preserve"> constructive feedback for changes. Approve</w:t>
            </w:r>
            <w:r w:rsidR="005C6938">
              <w:rPr>
                <w:rFonts w:asciiTheme="minorHAnsi" w:eastAsiaTheme="minorHAnsi" w:hAnsiTheme="minorHAnsi" w:cstheme="minorBidi"/>
                <w:color w:val="000000" w:themeColor="text1"/>
              </w:rPr>
              <w:t>d</w:t>
            </w:r>
            <w:r w:rsidRPr="005C6938">
              <w:rPr>
                <w:rFonts w:asciiTheme="minorHAnsi" w:eastAsiaTheme="minorHAnsi" w:hAnsiTheme="minorHAnsi" w:cstheme="minorBidi"/>
                <w:color w:val="000000" w:themeColor="text1"/>
              </w:rPr>
              <w:t xml:space="preserve"> the policy to be actioned prior to the end of the financial year</w:t>
            </w:r>
            <w:r w:rsidR="005C6938">
              <w:rPr>
                <w:rFonts w:asciiTheme="minorHAnsi" w:eastAsiaTheme="minorHAnsi" w:hAnsiTheme="minorHAnsi" w:cstheme="minorBidi"/>
                <w:color w:val="000000" w:themeColor="text1"/>
              </w:rPr>
              <w:t>.</w:t>
            </w:r>
          </w:p>
          <w:p w14:paraId="324D438D" w14:textId="02B69C58" w:rsidR="00DC5591" w:rsidRPr="00DC5591" w:rsidRDefault="00DC5591" w:rsidP="00DC5591">
            <w:pPr>
              <w:pStyle w:val="NoSpacing"/>
              <w:ind w:left="720"/>
            </w:pPr>
          </w:p>
        </w:tc>
        <w:tc>
          <w:tcPr>
            <w:tcW w:w="1028" w:type="dxa"/>
            <w:gridSpan w:val="2"/>
          </w:tcPr>
          <w:p w14:paraId="5925434D" w14:textId="77777777" w:rsidR="00067CE7" w:rsidRPr="005C6938" w:rsidRDefault="00067CE7" w:rsidP="00584CFB">
            <w:pPr>
              <w:pStyle w:val="NoSpacing"/>
            </w:pPr>
          </w:p>
        </w:tc>
      </w:tr>
      <w:bookmarkEnd w:id="3"/>
      <w:tr w:rsidR="0027362C" w:rsidRPr="00241AF6" w14:paraId="5FA9056C" w14:textId="77777777" w:rsidTr="00584CFB">
        <w:tc>
          <w:tcPr>
            <w:tcW w:w="9243" w:type="dxa"/>
            <w:gridSpan w:val="8"/>
            <w:shd w:val="clear" w:color="auto" w:fill="D9D9D9"/>
          </w:tcPr>
          <w:p w14:paraId="4A349E48" w14:textId="1F396427" w:rsidR="0027362C" w:rsidRPr="0081520D" w:rsidRDefault="009C6B7E" w:rsidP="00584CFB">
            <w:pPr>
              <w:rPr>
                <w:b/>
                <w:color w:val="000000"/>
                <w:sz w:val="24"/>
                <w:szCs w:val="24"/>
              </w:rPr>
            </w:pPr>
            <w:r>
              <w:rPr>
                <w:b/>
                <w:color w:val="000000"/>
                <w:sz w:val="24"/>
                <w:szCs w:val="24"/>
              </w:rPr>
              <w:t xml:space="preserve">Item </w:t>
            </w:r>
            <w:r w:rsidR="00584CFB">
              <w:rPr>
                <w:b/>
                <w:color w:val="000000"/>
                <w:sz w:val="24"/>
                <w:szCs w:val="24"/>
              </w:rPr>
              <w:t>1</w:t>
            </w:r>
            <w:r w:rsidR="00B64DA4">
              <w:rPr>
                <w:b/>
                <w:color w:val="000000"/>
                <w:sz w:val="24"/>
                <w:szCs w:val="24"/>
              </w:rPr>
              <w:t>8</w:t>
            </w:r>
            <w:r>
              <w:rPr>
                <w:b/>
                <w:color w:val="000000"/>
                <w:sz w:val="24"/>
                <w:szCs w:val="24"/>
              </w:rPr>
              <w:t>:</w:t>
            </w:r>
            <w:r w:rsidR="00584CFB">
              <w:rPr>
                <w:rFonts w:cs="Arial"/>
                <w:b/>
                <w:sz w:val="24"/>
                <w:szCs w:val="24"/>
              </w:rPr>
              <w:t xml:space="preserve">  </w:t>
            </w:r>
            <w:r w:rsidR="005A20AD">
              <w:rPr>
                <w:rFonts w:cs="Arial"/>
                <w:b/>
                <w:sz w:val="24"/>
                <w:szCs w:val="24"/>
              </w:rPr>
              <w:t xml:space="preserve"> Combined </w:t>
            </w:r>
            <w:r w:rsidR="005A20AD" w:rsidRPr="00B61F7F">
              <w:rPr>
                <w:rFonts w:cs="Arial"/>
                <w:b/>
                <w:sz w:val="24"/>
                <w:szCs w:val="24"/>
              </w:rPr>
              <w:t xml:space="preserve">Committee </w:t>
            </w:r>
            <w:r w:rsidR="005A20AD">
              <w:rPr>
                <w:rFonts w:cs="Arial"/>
                <w:b/>
                <w:sz w:val="24"/>
                <w:szCs w:val="24"/>
              </w:rPr>
              <w:t xml:space="preserve">Feedback </w:t>
            </w:r>
            <w:r w:rsidR="005A20AD" w:rsidRPr="00B61F7F">
              <w:rPr>
                <w:rFonts w:cs="Arial"/>
                <w:b/>
                <w:sz w:val="24"/>
                <w:szCs w:val="24"/>
              </w:rPr>
              <w:t>Report</w:t>
            </w:r>
          </w:p>
        </w:tc>
      </w:tr>
      <w:tr w:rsidR="00721B00" w:rsidRPr="005C6938" w14:paraId="7F681AA2" w14:textId="245174AF" w:rsidTr="00584CFB">
        <w:tc>
          <w:tcPr>
            <w:tcW w:w="964" w:type="dxa"/>
          </w:tcPr>
          <w:p w14:paraId="08640031" w14:textId="30678E9D" w:rsidR="00721B00" w:rsidRPr="005C6938" w:rsidRDefault="00584CFB" w:rsidP="00584CFB">
            <w:pPr>
              <w:rPr>
                <w:bCs/>
                <w:color w:val="000000"/>
              </w:rPr>
            </w:pPr>
            <w:r w:rsidRPr="005C6938">
              <w:rPr>
                <w:bCs/>
                <w:color w:val="000000"/>
              </w:rPr>
              <w:t>1</w:t>
            </w:r>
            <w:r w:rsidR="00B64DA4" w:rsidRPr="005C6938">
              <w:rPr>
                <w:bCs/>
                <w:color w:val="000000"/>
              </w:rPr>
              <w:t>8</w:t>
            </w:r>
          </w:p>
        </w:tc>
        <w:tc>
          <w:tcPr>
            <w:tcW w:w="7225" w:type="dxa"/>
            <w:gridSpan w:val="3"/>
          </w:tcPr>
          <w:p w14:paraId="7985EECC" w14:textId="5D353622" w:rsidR="00721B00" w:rsidRPr="005C6938" w:rsidRDefault="005A20AD" w:rsidP="00584CFB">
            <w:pPr>
              <w:spacing w:after="0"/>
              <w:rPr>
                <w:bCs/>
                <w:color w:val="000000"/>
              </w:rPr>
            </w:pPr>
            <w:r w:rsidRPr="005C6938">
              <w:t>The report was presented by the DoR for information.</w:t>
            </w:r>
          </w:p>
          <w:p w14:paraId="2EBCB6A7" w14:textId="1AF513DF" w:rsidR="00054EC1" w:rsidRPr="005C6938" w:rsidRDefault="00054EC1" w:rsidP="00054EC1">
            <w:r w:rsidRPr="005C6938">
              <w:t xml:space="preserve">A Board </w:t>
            </w:r>
            <w:r w:rsidR="005C6938">
              <w:t>M</w:t>
            </w:r>
            <w:r w:rsidRPr="005C6938">
              <w:t>ember highlighted the positive outcome of recent HSE engagement.</w:t>
            </w:r>
          </w:p>
          <w:p w14:paraId="15B021B5" w14:textId="3EC1608E" w:rsidR="005A20AD" w:rsidRPr="005C6938" w:rsidRDefault="005A20AD" w:rsidP="005A20AD">
            <w:pPr>
              <w:rPr>
                <w:color w:val="000000"/>
              </w:rPr>
            </w:pPr>
            <w:r w:rsidRPr="005C6938">
              <w:rPr>
                <w:color w:val="000000"/>
              </w:rPr>
              <w:t>Th</w:t>
            </w:r>
            <w:r w:rsidR="005C6938">
              <w:rPr>
                <w:color w:val="000000"/>
              </w:rPr>
              <w:t>e</w:t>
            </w:r>
            <w:r w:rsidRPr="005C6938">
              <w:rPr>
                <w:color w:val="000000"/>
              </w:rPr>
              <w:t xml:space="preserve"> Board: </w:t>
            </w:r>
          </w:p>
          <w:p w14:paraId="63992FA5" w14:textId="77777777" w:rsidR="00F82B0F" w:rsidRDefault="005A20AD" w:rsidP="005C6938">
            <w:pPr>
              <w:pStyle w:val="NoSpacing"/>
              <w:numPr>
                <w:ilvl w:val="0"/>
                <w:numId w:val="16"/>
              </w:numPr>
              <w:rPr>
                <w:bCs/>
                <w:color w:val="000000"/>
              </w:rPr>
            </w:pPr>
            <w:r w:rsidRPr="005C6938">
              <w:rPr>
                <w:bCs/>
                <w:color w:val="000000"/>
              </w:rPr>
              <w:t>Note</w:t>
            </w:r>
            <w:r w:rsidR="005C6938">
              <w:rPr>
                <w:bCs/>
                <w:color w:val="000000"/>
              </w:rPr>
              <w:t>d</w:t>
            </w:r>
            <w:r w:rsidRPr="005C6938">
              <w:rPr>
                <w:bCs/>
                <w:color w:val="000000"/>
              </w:rPr>
              <w:t xml:space="preserve"> the contents of the report</w:t>
            </w:r>
          </w:p>
          <w:p w14:paraId="498AEF17" w14:textId="6B3A488A" w:rsidR="005C6938" w:rsidRPr="005C6938" w:rsidRDefault="005C6938" w:rsidP="005C6938">
            <w:pPr>
              <w:pStyle w:val="NoSpacing"/>
              <w:ind w:left="720"/>
              <w:rPr>
                <w:bCs/>
                <w:color w:val="000000"/>
              </w:rPr>
            </w:pPr>
          </w:p>
        </w:tc>
        <w:tc>
          <w:tcPr>
            <w:tcW w:w="1054" w:type="dxa"/>
            <w:gridSpan w:val="4"/>
          </w:tcPr>
          <w:p w14:paraId="63F6226E" w14:textId="77777777" w:rsidR="00721B00" w:rsidRPr="005C6938" w:rsidRDefault="00721B00" w:rsidP="00584CFB">
            <w:pPr>
              <w:rPr>
                <w:b/>
                <w:color w:val="000000"/>
              </w:rPr>
            </w:pPr>
          </w:p>
        </w:tc>
      </w:tr>
      <w:tr w:rsidR="00067CE7" w:rsidRPr="00241AF6" w14:paraId="157A9DF8" w14:textId="77777777" w:rsidTr="00584CFB">
        <w:tc>
          <w:tcPr>
            <w:tcW w:w="9243" w:type="dxa"/>
            <w:gridSpan w:val="8"/>
            <w:shd w:val="clear" w:color="auto" w:fill="D9D9D9"/>
          </w:tcPr>
          <w:p w14:paraId="0F784EFB" w14:textId="44BE4190" w:rsidR="00067CE7" w:rsidRPr="0081520D" w:rsidRDefault="00067CE7" w:rsidP="00584CFB">
            <w:pPr>
              <w:rPr>
                <w:b/>
                <w:sz w:val="24"/>
                <w:szCs w:val="24"/>
              </w:rPr>
            </w:pPr>
            <w:r w:rsidRPr="0081520D">
              <w:rPr>
                <w:b/>
                <w:color w:val="000000"/>
                <w:sz w:val="24"/>
                <w:szCs w:val="24"/>
              </w:rPr>
              <w:t>Item</w:t>
            </w:r>
            <w:r w:rsidRPr="0081520D">
              <w:rPr>
                <w:b/>
                <w:sz w:val="24"/>
                <w:szCs w:val="24"/>
              </w:rPr>
              <w:t xml:space="preserve"> </w:t>
            </w:r>
            <w:r w:rsidR="00584CFB">
              <w:rPr>
                <w:b/>
                <w:sz w:val="24"/>
                <w:szCs w:val="24"/>
              </w:rPr>
              <w:t>1</w:t>
            </w:r>
            <w:r w:rsidR="00B64DA4">
              <w:rPr>
                <w:b/>
                <w:sz w:val="24"/>
                <w:szCs w:val="24"/>
              </w:rPr>
              <w:t>9</w:t>
            </w:r>
            <w:r w:rsidRPr="0081520D">
              <w:rPr>
                <w:b/>
                <w:sz w:val="24"/>
                <w:szCs w:val="24"/>
              </w:rPr>
              <w:t xml:space="preserve">: </w:t>
            </w:r>
            <w:r w:rsidR="009C6B7E" w:rsidRPr="007C38EC">
              <w:rPr>
                <w:rFonts w:cs="Arial"/>
                <w:b/>
                <w:sz w:val="24"/>
                <w:szCs w:val="24"/>
              </w:rPr>
              <w:t xml:space="preserve"> Happy To Help CIC Report </w:t>
            </w:r>
          </w:p>
        </w:tc>
      </w:tr>
      <w:tr w:rsidR="00067CE7" w:rsidRPr="005C6938" w14:paraId="0342C6DF" w14:textId="77777777" w:rsidTr="00584CFB">
        <w:tc>
          <w:tcPr>
            <w:tcW w:w="988" w:type="dxa"/>
            <w:gridSpan w:val="3"/>
            <w:shd w:val="clear" w:color="auto" w:fill="FFFFFF"/>
          </w:tcPr>
          <w:p w14:paraId="1C0B0212" w14:textId="03ADCD2B" w:rsidR="00067CE7" w:rsidRPr="005C6938" w:rsidRDefault="00584CFB" w:rsidP="00584CFB">
            <w:pPr>
              <w:pStyle w:val="NoSpacing"/>
            </w:pPr>
            <w:bookmarkStart w:id="4" w:name="_Hlk221629968"/>
            <w:r w:rsidRPr="005C6938">
              <w:t>1</w:t>
            </w:r>
            <w:r w:rsidR="00B64DA4" w:rsidRPr="005C6938">
              <w:t>9</w:t>
            </w:r>
          </w:p>
        </w:tc>
        <w:tc>
          <w:tcPr>
            <w:tcW w:w="7227" w:type="dxa"/>
            <w:gridSpan w:val="3"/>
          </w:tcPr>
          <w:p w14:paraId="06286F76" w14:textId="77777777" w:rsidR="005A20AD" w:rsidRPr="005C6938" w:rsidRDefault="005A20AD" w:rsidP="005A20AD">
            <w:pPr>
              <w:spacing w:after="0"/>
              <w:rPr>
                <w:bCs/>
                <w:color w:val="000000"/>
              </w:rPr>
            </w:pPr>
            <w:r w:rsidRPr="005C6938">
              <w:t>The report was presented by</w:t>
            </w:r>
            <w:r w:rsidRPr="005C6938">
              <w:rPr>
                <w:bCs/>
                <w:color w:val="000000"/>
              </w:rPr>
              <w:t xml:space="preserve"> the independent NED on the HTH Board.</w:t>
            </w:r>
          </w:p>
          <w:p w14:paraId="13D415FA" w14:textId="1B45ACE2" w:rsidR="005A20AD" w:rsidRPr="005C6938" w:rsidRDefault="005A20AD" w:rsidP="005A20AD">
            <w:pPr>
              <w:spacing w:after="0"/>
              <w:rPr>
                <w:bCs/>
                <w:color w:val="000000"/>
              </w:rPr>
            </w:pPr>
            <w:r w:rsidRPr="005C6938">
              <w:rPr>
                <w:bCs/>
                <w:color w:val="000000"/>
              </w:rPr>
              <w:t xml:space="preserve">The Board </w:t>
            </w:r>
            <w:r w:rsidR="005C6938">
              <w:rPr>
                <w:bCs/>
                <w:color w:val="000000"/>
              </w:rPr>
              <w:t>M</w:t>
            </w:r>
            <w:r w:rsidRPr="005C6938">
              <w:rPr>
                <w:bCs/>
                <w:color w:val="000000"/>
              </w:rPr>
              <w:t>embers noted the summary update on items discussed by HTH Board at its most recent meeting. The HTH Board scrutinised the Operations and Finance report and the Strategic Risk Register for Q</w:t>
            </w:r>
            <w:r w:rsidR="007E4018" w:rsidRPr="005C6938">
              <w:rPr>
                <w:bCs/>
                <w:color w:val="000000"/>
              </w:rPr>
              <w:t>3</w:t>
            </w:r>
            <w:r w:rsidRPr="005C6938">
              <w:rPr>
                <w:bCs/>
                <w:color w:val="000000"/>
              </w:rPr>
              <w:t xml:space="preserve">. The HTH Board also reviewed their </w:t>
            </w:r>
            <w:r w:rsidR="007E4018" w:rsidRPr="005C6938">
              <w:rPr>
                <w:bCs/>
                <w:color w:val="000000"/>
              </w:rPr>
              <w:t>draft Budget and Financial Regulations.</w:t>
            </w:r>
          </w:p>
          <w:p w14:paraId="7B0D64BF" w14:textId="77777777" w:rsidR="00054EC1" w:rsidRPr="005C6938" w:rsidRDefault="00054EC1" w:rsidP="005A20AD">
            <w:pPr>
              <w:spacing w:after="0"/>
            </w:pPr>
          </w:p>
          <w:p w14:paraId="10C735C6" w14:textId="47D152C3" w:rsidR="005C6938" w:rsidRDefault="00054EC1" w:rsidP="005C6938">
            <w:r w:rsidRPr="005C6938">
              <w:t>The Board Members discussed future governance arrangements pending Council decisions. Uncertainty regarding the CIC’s position post-transition was acknowledged.</w:t>
            </w:r>
          </w:p>
          <w:p w14:paraId="4CD3687D" w14:textId="74D548F6" w:rsidR="005A20AD" w:rsidRPr="005C6938" w:rsidRDefault="005A20AD" w:rsidP="005C6938">
            <w:r w:rsidRPr="005C6938">
              <w:rPr>
                <w:color w:val="000000"/>
              </w:rPr>
              <w:t>The Board:</w:t>
            </w:r>
          </w:p>
          <w:p w14:paraId="655C6AF6" w14:textId="4460F016" w:rsidR="005A20AD" w:rsidRPr="005C6938" w:rsidRDefault="005A20AD" w:rsidP="00E53744">
            <w:pPr>
              <w:pStyle w:val="NoSpacing"/>
              <w:numPr>
                <w:ilvl w:val="0"/>
                <w:numId w:val="16"/>
              </w:numPr>
              <w:rPr>
                <w:color w:val="000000"/>
              </w:rPr>
            </w:pPr>
            <w:r w:rsidRPr="005C6938">
              <w:rPr>
                <w:color w:val="000000"/>
              </w:rPr>
              <w:t xml:space="preserve"> Note</w:t>
            </w:r>
            <w:r w:rsidR="005C6938">
              <w:rPr>
                <w:color w:val="000000"/>
              </w:rPr>
              <w:t>d</w:t>
            </w:r>
            <w:r w:rsidRPr="005C6938">
              <w:rPr>
                <w:color w:val="000000"/>
              </w:rPr>
              <w:t xml:space="preserve"> the contents of the report.</w:t>
            </w:r>
          </w:p>
          <w:p w14:paraId="6D5B313F" w14:textId="5549E8E4" w:rsidR="009C6B7E" w:rsidRPr="005C6938" w:rsidRDefault="009C6B7E" w:rsidP="00584CFB">
            <w:pPr>
              <w:pStyle w:val="NoSpacing"/>
              <w:rPr>
                <w:b/>
                <w:bCs/>
              </w:rPr>
            </w:pPr>
          </w:p>
        </w:tc>
        <w:tc>
          <w:tcPr>
            <w:tcW w:w="1028" w:type="dxa"/>
            <w:gridSpan w:val="2"/>
          </w:tcPr>
          <w:p w14:paraId="5E7D2D61" w14:textId="77777777" w:rsidR="00067CE7" w:rsidRPr="005C6938" w:rsidRDefault="00067CE7" w:rsidP="00584CFB">
            <w:pPr>
              <w:pStyle w:val="NoSpacing"/>
            </w:pPr>
          </w:p>
        </w:tc>
      </w:tr>
      <w:bookmarkEnd w:id="4"/>
      <w:tr w:rsidR="001A4144" w:rsidRPr="00241AF6" w14:paraId="7716B6CE" w14:textId="77777777" w:rsidTr="00584CFB">
        <w:tc>
          <w:tcPr>
            <w:tcW w:w="9243" w:type="dxa"/>
            <w:gridSpan w:val="8"/>
            <w:shd w:val="clear" w:color="auto" w:fill="D9D9D9"/>
          </w:tcPr>
          <w:p w14:paraId="5376292E" w14:textId="2082DA2A" w:rsidR="001A4144" w:rsidRPr="0081520D" w:rsidRDefault="001A4144" w:rsidP="000C54FA">
            <w:pPr>
              <w:ind w:left="2290" w:hanging="2290"/>
              <w:rPr>
                <w:b/>
                <w:sz w:val="24"/>
                <w:szCs w:val="24"/>
              </w:rPr>
            </w:pPr>
            <w:r w:rsidRPr="0081520D">
              <w:rPr>
                <w:b/>
                <w:color w:val="000000"/>
                <w:sz w:val="24"/>
                <w:szCs w:val="24"/>
              </w:rPr>
              <w:lastRenderedPageBreak/>
              <w:t>Item</w:t>
            </w:r>
            <w:r w:rsidRPr="0081520D">
              <w:rPr>
                <w:b/>
                <w:sz w:val="24"/>
                <w:szCs w:val="24"/>
              </w:rPr>
              <w:t xml:space="preserve"> </w:t>
            </w:r>
            <w:r w:rsidR="00B64DA4">
              <w:rPr>
                <w:b/>
                <w:sz w:val="24"/>
                <w:szCs w:val="24"/>
              </w:rPr>
              <w:t>20</w:t>
            </w:r>
            <w:r w:rsidRPr="0081520D">
              <w:rPr>
                <w:b/>
                <w:sz w:val="24"/>
                <w:szCs w:val="24"/>
              </w:rPr>
              <w:t xml:space="preserve">: </w:t>
            </w:r>
            <w:r w:rsidRPr="007C38EC">
              <w:rPr>
                <w:rFonts w:cs="Arial"/>
                <w:b/>
                <w:sz w:val="24"/>
                <w:szCs w:val="24"/>
              </w:rPr>
              <w:t xml:space="preserve"> </w:t>
            </w:r>
            <w:r>
              <w:rPr>
                <w:rFonts w:cs="Arial"/>
                <w:b/>
                <w:sz w:val="24"/>
                <w:szCs w:val="24"/>
              </w:rPr>
              <w:t>Forward Plan</w:t>
            </w:r>
          </w:p>
        </w:tc>
      </w:tr>
      <w:tr w:rsidR="001A4144" w:rsidRPr="005C6938" w14:paraId="1A209FBC" w14:textId="77777777" w:rsidTr="00F63DE5">
        <w:tc>
          <w:tcPr>
            <w:tcW w:w="988" w:type="dxa"/>
            <w:gridSpan w:val="3"/>
            <w:shd w:val="clear" w:color="auto" w:fill="FFFFFF"/>
          </w:tcPr>
          <w:p w14:paraId="47C11E1F" w14:textId="495BB3D3" w:rsidR="001A4144" w:rsidRPr="005C6938" w:rsidRDefault="00B64DA4" w:rsidP="001A4144">
            <w:pPr>
              <w:pStyle w:val="NoSpacing"/>
            </w:pPr>
            <w:r w:rsidRPr="005C6938">
              <w:t>20</w:t>
            </w:r>
          </w:p>
        </w:tc>
        <w:tc>
          <w:tcPr>
            <w:tcW w:w="7227" w:type="dxa"/>
            <w:gridSpan w:val="3"/>
          </w:tcPr>
          <w:p w14:paraId="71B6B7A9" w14:textId="3F82B389" w:rsidR="00054EC1" w:rsidRDefault="001A4144" w:rsidP="005C6938">
            <w:pPr>
              <w:spacing w:after="0"/>
            </w:pPr>
            <w:r w:rsidRPr="005C6938">
              <w:t xml:space="preserve">The Board </w:t>
            </w:r>
            <w:r w:rsidR="005C6938">
              <w:t>M</w:t>
            </w:r>
            <w:r w:rsidRPr="005C6938">
              <w:t>embers considered the forward plan</w:t>
            </w:r>
            <w:r w:rsidR="005C6938">
              <w:t xml:space="preserve"> and </w:t>
            </w:r>
            <w:r w:rsidR="00054EC1" w:rsidRPr="005C6938">
              <w:t xml:space="preserve">reviewed future agenda items. </w:t>
            </w:r>
          </w:p>
          <w:p w14:paraId="5295842C" w14:textId="77777777" w:rsidR="005C6938" w:rsidRPr="005C6938" w:rsidRDefault="005C6938" w:rsidP="005C6938">
            <w:pPr>
              <w:spacing w:after="0"/>
            </w:pPr>
          </w:p>
          <w:p w14:paraId="215648FD" w14:textId="014A2049" w:rsidR="00054EC1" w:rsidRPr="005C6938" w:rsidRDefault="00054EC1" w:rsidP="00054EC1">
            <w:r w:rsidRPr="005C6938">
              <w:t xml:space="preserve">The Board Members were reminded of upcoming compliance training on 5 March </w:t>
            </w:r>
            <w:r w:rsidR="005C6938">
              <w:t xml:space="preserve">2026 </w:t>
            </w:r>
            <w:r w:rsidRPr="005C6938">
              <w:t>and encouraged to complete</w:t>
            </w:r>
            <w:r w:rsidR="005C6938">
              <w:t xml:space="preserve"> all</w:t>
            </w:r>
            <w:r w:rsidRPr="005C6938">
              <w:t xml:space="preserve"> e-learning modules.</w:t>
            </w:r>
          </w:p>
          <w:p w14:paraId="31B042DA" w14:textId="0B076BFC" w:rsidR="009F20F6" w:rsidRPr="005C6938" w:rsidRDefault="00054EC1" w:rsidP="00054EC1">
            <w:r w:rsidRPr="005C6938">
              <w:t>The Code of Conduct will be circulated as a refresher for Board Members.</w:t>
            </w:r>
          </w:p>
        </w:tc>
        <w:tc>
          <w:tcPr>
            <w:tcW w:w="1028" w:type="dxa"/>
            <w:gridSpan w:val="2"/>
          </w:tcPr>
          <w:p w14:paraId="52016230" w14:textId="77777777" w:rsidR="001A4144" w:rsidRPr="005C6938" w:rsidRDefault="001A4144" w:rsidP="001A4144">
            <w:pPr>
              <w:pStyle w:val="NoSpacing"/>
            </w:pPr>
          </w:p>
        </w:tc>
      </w:tr>
      <w:tr w:rsidR="00067CE7" w:rsidRPr="00241AF6" w14:paraId="689C8CD5" w14:textId="77777777" w:rsidTr="00584CFB">
        <w:tc>
          <w:tcPr>
            <w:tcW w:w="9243" w:type="dxa"/>
            <w:gridSpan w:val="8"/>
            <w:shd w:val="clear" w:color="auto" w:fill="D9D9D9"/>
          </w:tcPr>
          <w:p w14:paraId="33D40A51" w14:textId="4E172570" w:rsidR="00067CE7" w:rsidRPr="00F82B0F" w:rsidRDefault="000C54FA" w:rsidP="000C54FA">
            <w:pPr>
              <w:ind w:left="2290" w:hanging="2290"/>
              <w:rPr>
                <w:b/>
                <w:sz w:val="24"/>
                <w:szCs w:val="24"/>
              </w:rPr>
            </w:pPr>
            <w:r w:rsidRPr="0081520D">
              <w:rPr>
                <w:b/>
                <w:sz w:val="24"/>
                <w:szCs w:val="24"/>
              </w:rPr>
              <w:t>Date of next meeting:</w:t>
            </w:r>
            <w:r>
              <w:rPr>
                <w:b/>
                <w:sz w:val="24"/>
                <w:szCs w:val="24"/>
              </w:rPr>
              <w:t xml:space="preserve"> </w:t>
            </w:r>
            <w:r w:rsidRPr="007C38EC">
              <w:rPr>
                <w:rFonts w:cs="Arial"/>
                <w:b/>
                <w:sz w:val="24"/>
                <w:szCs w:val="24"/>
              </w:rPr>
              <w:t xml:space="preserve"> Wednesday </w:t>
            </w:r>
            <w:r w:rsidR="00D81833">
              <w:rPr>
                <w:rFonts w:cs="Arial"/>
                <w:b/>
                <w:sz w:val="24"/>
                <w:szCs w:val="24"/>
              </w:rPr>
              <w:t>25 February</w:t>
            </w:r>
            <w:r w:rsidRPr="007C38EC">
              <w:rPr>
                <w:rFonts w:cs="Arial"/>
                <w:b/>
                <w:sz w:val="24"/>
                <w:szCs w:val="24"/>
              </w:rPr>
              <w:t xml:space="preserve"> 202</w:t>
            </w:r>
            <w:r w:rsidR="001A4144">
              <w:rPr>
                <w:rFonts w:cs="Arial"/>
                <w:b/>
                <w:sz w:val="24"/>
                <w:szCs w:val="24"/>
              </w:rPr>
              <w:t>6</w:t>
            </w:r>
            <w:r w:rsidRPr="007C38EC">
              <w:rPr>
                <w:rFonts w:cs="Arial"/>
                <w:b/>
                <w:sz w:val="24"/>
                <w:szCs w:val="24"/>
              </w:rPr>
              <w:t>,</w:t>
            </w:r>
            <w:r w:rsidR="00D81833">
              <w:rPr>
                <w:rFonts w:cs="Arial"/>
                <w:b/>
                <w:sz w:val="24"/>
                <w:szCs w:val="24"/>
              </w:rPr>
              <w:t xml:space="preserve"> Away Day: Wednesday 22 April 2026,</w:t>
            </w:r>
            <w:r w:rsidRPr="007C38EC">
              <w:rPr>
                <w:rFonts w:cs="Arial"/>
                <w:b/>
                <w:sz w:val="24"/>
                <w:szCs w:val="24"/>
              </w:rPr>
              <w:t xml:space="preserve"> 18:00</w:t>
            </w:r>
            <w:r w:rsidR="00D81833">
              <w:rPr>
                <w:rFonts w:cs="Arial"/>
                <w:b/>
                <w:sz w:val="24"/>
                <w:szCs w:val="24"/>
              </w:rPr>
              <w:t>.</w:t>
            </w:r>
          </w:p>
        </w:tc>
      </w:tr>
      <w:tr w:rsidR="00067CE7" w:rsidRPr="00241AF6" w14:paraId="4DE78475" w14:textId="77777777" w:rsidTr="00584CFB">
        <w:tc>
          <w:tcPr>
            <w:tcW w:w="9243" w:type="dxa"/>
            <w:gridSpan w:val="8"/>
            <w:shd w:val="clear" w:color="auto" w:fill="BFBFBF"/>
          </w:tcPr>
          <w:p w14:paraId="58D3BC31" w14:textId="575E307D" w:rsidR="00067CE7" w:rsidRPr="0081520D" w:rsidRDefault="00067CE7" w:rsidP="00584CFB">
            <w:pPr>
              <w:rPr>
                <w:b/>
                <w:sz w:val="24"/>
                <w:szCs w:val="24"/>
              </w:rPr>
            </w:pPr>
            <w:r w:rsidRPr="0081520D">
              <w:rPr>
                <w:b/>
                <w:sz w:val="24"/>
                <w:szCs w:val="24"/>
              </w:rPr>
              <w:t>Close of meeting:</w:t>
            </w:r>
            <w:r w:rsidR="00F82B0F">
              <w:rPr>
                <w:b/>
                <w:sz w:val="24"/>
                <w:szCs w:val="24"/>
              </w:rPr>
              <w:t xml:space="preserve"> </w:t>
            </w:r>
            <w:r w:rsidR="00F82B0F" w:rsidRPr="00081D5E">
              <w:rPr>
                <w:b/>
                <w:sz w:val="24"/>
                <w:szCs w:val="24"/>
              </w:rPr>
              <w:t>2</w:t>
            </w:r>
            <w:r w:rsidR="00081D5E" w:rsidRPr="00081D5E">
              <w:rPr>
                <w:b/>
                <w:sz w:val="24"/>
                <w:szCs w:val="24"/>
              </w:rPr>
              <w:t>0</w:t>
            </w:r>
            <w:r w:rsidR="00081D5E">
              <w:rPr>
                <w:b/>
                <w:sz w:val="24"/>
                <w:szCs w:val="24"/>
              </w:rPr>
              <w:t>:</w:t>
            </w:r>
            <w:r w:rsidR="00EF6E28">
              <w:rPr>
                <w:b/>
                <w:sz w:val="24"/>
                <w:szCs w:val="24"/>
              </w:rPr>
              <w:t>20</w:t>
            </w:r>
          </w:p>
        </w:tc>
      </w:tr>
    </w:tbl>
    <w:p w14:paraId="20275242" w14:textId="77777777" w:rsidR="0088166F" w:rsidRPr="00241AF6" w:rsidRDefault="0088166F" w:rsidP="00241AF6">
      <w:pPr>
        <w:pStyle w:val="NoSpacing"/>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6671"/>
        <w:gridCol w:w="992"/>
      </w:tblGrid>
      <w:tr w:rsidR="004C5C24" w:rsidRPr="00241AF6" w14:paraId="42C17E52" w14:textId="77777777" w:rsidTr="00241AF6">
        <w:tc>
          <w:tcPr>
            <w:tcW w:w="9209" w:type="dxa"/>
            <w:gridSpan w:val="3"/>
            <w:shd w:val="clear" w:color="auto" w:fill="D9D9D9"/>
          </w:tcPr>
          <w:p w14:paraId="1F8B6C2B" w14:textId="77777777" w:rsidR="004C5C24" w:rsidRPr="0081520D" w:rsidRDefault="004C5C24" w:rsidP="00241AF6">
            <w:pPr>
              <w:rPr>
                <w:b/>
                <w:sz w:val="24"/>
                <w:szCs w:val="24"/>
              </w:rPr>
            </w:pPr>
            <w:r w:rsidRPr="0081520D">
              <w:rPr>
                <w:b/>
                <w:sz w:val="24"/>
                <w:szCs w:val="24"/>
              </w:rPr>
              <w:t xml:space="preserve">Action Summary </w:t>
            </w:r>
          </w:p>
        </w:tc>
      </w:tr>
      <w:tr w:rsidR="00A33A89" w:rsidRPr="00241AF6" w14:paraId="0BC34395" w14:textId="77777777" w:rsidTr="00241AF6">
        <w:tc>
          <w:tcPr>
            <w:tcW w:w="1546" w:type="dxa"/>
          </w:tcPr>
          <w:p w14:paraId="1417DB52" w14:textId="77777777" w:rsidR="00A33A89" w:rsidRPr="0081520D" w:rsidRDefault="00A33A89" w:rsidP="00067CE7">
            <w:pPr>
              <w:pStyle w:val="NoSpacing"/>
              <w:rPr>
                <w:sz w:val="24"/>
                <w:szCs w:val="24"/>
              </w:rPr>
            </w:pPr>
            <w:r w:rsidRPr="0081520D">
              <w:rPr>
                <w:sz w:val="24"/>
                <w:szCs w:val="24"/>
              </w:rPr>
              <w:t>Action 1</w:t>
            </w:r>
          </w:p>
          <w:p w14:paraId="72458FDC" w14:textId="0C4F04A3" w:rsidR="00A33A89" w:rsidRPr="0081520D" w:rsidRDefault="00A33A89" w:rsidP="00067CE7">
            <w:pPr>
              <w:pStyle w:val="NoSpacing"/>
              <w:rPr>
                <w:sz w:val="24"/>
                <w:szCs w:val="24"/>
              </w:rPr>
            </w:pPr>
            <w:r w:rsidRPr="0081520D">
              <w:rPr>
                <w:sz w:val="24"/>
                <w:szCs w:val="24"/>
              </w:rPr>
              <w:t xml:space="preserve">(item </w:t>
            </w:r>
            <w:r w:rsidR="00C22BCD">
              <w:rPr>
                <w:sz w:val="24"/>
                <w:szCs w:val="24"/>
              </w:rPr>
              <w:t>5</w:t>
            </w:r>
            <w:r w:rsidRPr="0081520D">
              <w:rPr>
                <w:sz w:val="24"/>
                <w:szCs w:val="24"/>
              </w:rPr>
              <w:t>)</w:t>
            </w:r>
          </w:p>
          <w:p w14:paraId="71ACD82A" w14:textId="77777777" w:rsidR="00A33A89" w:rsidRPr="0081520D" w:rsidRDefault="00A33A89" w:rsidP="00067CE7">
            <w:pPr>
              <w:pStyle w:val="NoSpacing"/>
              <w:rPr>
                <w:sz w:val="24"/>
                <w:szCs w:val="24"/>
              </w:rPr>
            </w:pPr>
          </w:p>
        </w:tc>
        <w:tc>
          <w:tcPr>
            <w:tcW w:w="6671" w:type="dxa"/>
          </w:tcPr>
          <w:p w14:paraId="0ACDB616" w14:textId="77777777" w:rsidR="00C22BCD" w:rsidRDefault="00C22BCD" w:rsidP="00C22BCD">
            <w:pPr>
              <w:pStyle w:val="NoSpacing"/>
            </w:pPr>
            <w:r w:rsidRPr="00C22BCD">
              <w:t>Board members expressed a desire for more proactive engagement with Council representatives at the Away Day and highlighted the need for clarity on reporting lines post-transition. It was noted that the current WNC attendees may not have the appropriate decision-making responsibility to action the concerns of the NPH Board.</w:t>
            </w:r>
          </w:p>
          <w:p w14:paraId="4DDBAE07" w14:textId="77777777" w:rsidR="00F60E64" w:rsidRPr="00C22BCD" w:rsidRDefault="00F60E64" w:rsidP="00C22BCD">
            <w:pPr>
              <w:pStyle w:val="NoSpacing"/>
            </w:pPr>
          </w:p>
          <w:p w14:paraId="10CF117C" w14:textId="77777777" w:rsidR="00C22BCD" w:rsidRDefault="00C22BCD" w:rsidP="00C22BCD">
            <w:pPr>
              <w:pStyle w:val="NoSpacing"/>
            </w:pPr>
            <w:r w:rsidRPr="00C22BCD">
              <w:rPr>
                <w:b/>
                <w:bCs/>
              </w:rPr>
              <w:t>Action:</w:t>
            </w:r>
            <w:r w:rsidRPr="00C22BCD">
              <w:t xml:space="preserve"> All Board Members to forward areas of concern with the transition to the Chair for WNC to respond to in advance of the awayday and in time for her meeting with the Director of Communities and Opportunities on 16 February 2026.</w:t>
            </w:r>
          </w:p>
          <w:p w14:paraId="4BE80F93" w14:textId="77777777" w:rsidR="00F60E64" w:rsidRPr="00C22BCD" w:rsidRDefault="00F60E64" w:rsidP="00C22BCD">
            <w:pPr>
              <w:pStyle w:val="NoSpacing"/>
            </w:pPr>
          </w:p>
          <w:p w14:paraId="72DE6AF4" w14:textId="77777777" w:rsidR="00C22BCD" w:rsidRPr="00C22BCD" w:rsidRDefault="00C22BCD" w:rsidP="00C22BCD">
            <w:pPr>
              <w:pStyle w:val="NoSpacing"/>
            </w:pPr>
            <w:r w:rsidRPr="00C22BCD">
              <w:rPr>
                <w:b/>
                <w:bCs/>
              </w:rPr>
              <w:t xml:space="preserve">Action: </w:t>
            </w:r>
            <w:r w:rsidRPr="00C22BCD">
              <w:t>The Chair to write to the WNC Interim Chief Executive to request that he meet with the NPH Board so they can directly raise their concerns with him</w:t>
            </w:r>
          </w:p>
          <w:p w14:paraId="0EEDBD2B" w14:textId="77777777" w:rsidR="00A33A89" w:rsidRPr="0081520D" w:rsidRDefault="00A33A89" w:rsidP="00E56594">
            <w:pPr>
              <w:pStyle w:val="NoSpacing"/>
              <w:rPr>
                <w:sz w:val="24"/>
                <w:szCs w:val="24"/>
              </w:rPr>
            </w:pPr>
          </w:p>
        </w:tc>
        <w:tc>
          <w:tcPr>
            <w:tcW w:w="992" w:type="dxa"/>
          </w:tcPr>
          <w:p w14:paraId="517EE27A" w14:textId="32328316" w:rsidR="00A33A89" w:rsidRPr="0081520D" w:rsidRDefault="00C22BCD" w:rsidP="00067CE7">
            <w:pPr>
              <w:pStyle w:val="NoSpacing"/>
              <w:rPr>
                <w:sz w:val="24"/>
                <w:szCs w:val="24"/>
              </w:rPr>
            </w:pPr>
            <w:r>
              <w:rPr>
                <w:sz w:val="24"/>
                <w:szCs w:val="24"/>
              </w:rPr>
              <w:t>All/AE</w:t>
            </w:r>
          </w:p>
        </w:tc>
      </w:tr>
      <w:tr w:rsidR="00A33A89" w:rsidRPr="00241AF6" w14:paraId="7918878A" w14:textId="77777777" w:rsidTr="00241AF6">
        <w:tc>
          <w:tcPr>
            <w:tcW w:w="1546" w:type="dxa"/>
          </w:tcPr>
          <w:p w14:paraId="5D0455C3" w14:textId="77777777" w:rsidR="00A33A89" w:rsidRPr="0081520D" w:rsidRDefault="00A33A89" w:rsidP="00067CE7">
            <w:pPr>
              <w:pStyle w:val="NoSpacing"/>
              <w:rPr>
                <w:sz w:val="24"/>
                <w:szCs w:val="24"/>
              </w:rPr>
            </w:pPr>
            <w:r w:rsidRPr="0081520D">
              <w:rPr>
                <w:sz w:val="24"/>
                <w:szCs w:val="24"/>
              </w:rPr>
              <w:t>Action 2</w:t>
            </w:r>
          </w:p>
          <w:p w14:paraId="0A5B013F" w14:textId="7B401E96" w:rsidR="00A33A89" w:rsidRPr="0081520D" w:rsidRDefault="00A33A89" w:rsidP="00067CE7">
            <w:pPr>
              <w:pStyle w:val="NoSpacing"/>
              <w:rPr>
                <w:sz w:val="24"/>
                <w:szCs w:val="24"/>
              </w:rPr>
            </w:pPr>
            <w:r w:rsidRPr="0081520D">
              <w:rPr>
                <w:sz w:val="24"/>
                <w:szCs w:val="24"/>
              </w:rPr>
              <w:t xml:space="preserve">(item </w:t>
            </w:r>
            <w:r w:rsidR="005C6938">
              <w:rPr>
                <w:sz w:val="24"/>
                <w:szCs w:val="24"/>
              </w:rPr>
              <w:t>16</w:t>
            </w:r>
            <w:r w:rsidRPr="0081520D">
              <w:rPr>
                <w:sz w:val="24"/>
                <w:szCs w:val="24"/>
              </w:rPr>
              <w:t>)</w:t>
            </w:r>
          </w:p>
          <w:p w14:paraId="604B7479" w14:textId="77777777" w:rsidR="00A33A89" w:rsidRPr="0081520D" w:rsidRDefault="00A33A89" w:rsidP="00067CE7">
            <w:pPr>
              <w:pStyle w:val="NoSpacing"/>
              <w:rPr>
                <w:sz w:val="24"/>
                <w:szCs w:val="24"/>
              </w:rPr>
            </w:pPr>
          </w:p>
        </w:tc>
        <w:tc>
          <w:tcPr>
            <w:tcW w:w="6671" w:type="dxa"/>
          </w:tcPr>
          <w:p w14:paraId="55BCA35E" w14:textId="77777777" w:rsidR="005C6938" w:rsidRPr="004C7C81" w:rsidRDefault="005C6938" w:rsidP="005C6938">
            <w:r>
              <w:t xml:space="preserve">An </w:t>
            </w:r>
            <w:r w:rsidRPr="004C7C81">
              <w:t>Officer confirmed there has been less than satisfactory ongoing dialogue</w:t>
            </w:r>
            <w:r>
              <w:t xml:space="preserve"> between</w:t>
            </w:r>
            <w:r w:rsidRPr="004C7C81">
              <w:t xml:space="preserve"> WNC</w:t>
            </w:r>
            <w:r>
              <w:t xml:space="preserve"> and NPH Senior Officers</w:t>
            </w:r>
            <w:r w:rsidRPr="004C7C81">
              <w:t xml:space="preserve"> and therefore there is a need for accelerated decisions and clear communication of </w:t>
            </w:r>
            <w:r>
              <w:t xml:space="preserve">future </w:t>
            </w:r>
            <w:r w:rsidRPr="004C7C81">
              <w:t>intention</w:t>
            </w:r>
            <w:r>
              <w:t>s</w:t>
            </w:r>
            <w:r w:rsidRPr="004C7C81">
              <w:t xml:space="preserve"> relating to specific roles.</w:t>
            </w:r>
          </w:p>
          <w:p w14:paraId="40D435F9" w14:textId="77777777" w:rsidR="005C6938" w:rsidRPr="004C7C81" w:rsidRDefault="005C6938" w:rsidP="005C6938">
            <w:pPr>
              <w:pStyle w:val="NoSpacing"/>
            </w:pPr>
            <w:r w:rsidRPr="004C7C81">
              <w:rPr>
                <w:b/>
                <w:bCs/>
              </w:rPr>
              <w:t>Action:</w:t>
            </w:r>
            <w:r w:rsidRPr="004C7C81">
              <w:t xml:space="preserve"> The Chair will raise the crystallisation of the risk of losing key staff with the WNC Director of Communities and Opportunities on 16 February 2026 and request clarity on how any vacancies will be addressed.</w:t>
            </w:r>
          </w:p>
          <w:p w14:paraId="49C034B3" w14:textId="77777777" w:rsidR="00A33A89" w:rsidRPr="0081520D" w:rsidRDefault="00A33A89" w:rsidP="00E56594">
            <w:pPr>
              <w:pStyle w:val="NoSpacing"/>
              <w:rPr>
                <w:sz w:val="24"/>
                <w:szCs w:val="24"/>
              </w:rPr>
            </w:pPr>
          </w:p>
        </w:tc>
        <w:tc>
          <w:tcPr>
            <w:tcW w:w="992" w:type="dxa"/>
          </w:tcPr>
          <w:p w14:paraId="6DB2A2B2" w14:textId="3964F5D2" w:rsidR="00A33A89" w:rsidRPr="0081520D" w:rsidRDefault="005C6938" w:rsidP="00067CE7">
            <w:pPr>
              <w:pStyle w:val="NoSpacing"/>
              <w:rPr>
                <w:sz w:val="24"/>
                <w:szCs w:val="24"/>
              </w:rPr>
            </w:pPr>
            <w:r>
              <w:rPr>
                <w:sz w:val="24"/>
                <w:szCs w:val="24"/>
              </w:rPr>
              <w:t>AE</w:t>
            </w:r>
          </w:p>
        </w:tc>
      </w:tr>
    </w:tbl>
    <w:p w14:paraId="51D89170" w14:textId="77777777" w:rsidR="00BB10F5" w:rsidRPr="000276DC" w:rsidRDefault="00BB10F5" w:rsidP="00BB10F5">
      <w:pPr>
        <w:rPr>
          <w:rFonts w:ascii="Arial" w:hAnsi="Arial" w:cs="Arial"/>
          <w:sz w:val="24"/>
          <w:szCs w:val="24"/>
        </w:rPr>
      </w:pPr>
    </w:p>
    <w:sectPr w:rsidR="00BB10F5" w:rsidRPr="000276DC" w:rsidSect="00153389">
      <w:headerReference w:type="default" r:id="rId8"/>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A8A2" w14:textId="77777777" w:rsidR="00F2570D" w:rsidRDefault="00F2570D" w:rsidP="00E61189">
      <w:pPr>
        <w:spacing w:after="0" w:line="240" w:lineRule="auto"/>
      </w:pPr>
      <w:r>
        <w:separator/>
      </w:r>
    </w:p>
  </w:endnote>
  <w:endnote w:type="continuationSeparator" w:id="0">
    <w:p w14:paraId="7E46E76B" w14:textId="77777777" w:rsidR="00F2570D" w:rsidRDefault="00F2570D" w:rsidP="00E6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1696" w14:textId="77777777" w:rsidR="00C15796" w:rsidRDefault="00C15796">
    <w:pPr>
      <w:pStyle w:val="Footer"/>
      <w:jc w:val="right"/>
    </w:pPr>
    <w:r>
      <w:fldChar w:fldCharType="begin"/>
    </w:r>
    <w:r>
      <w:instrText xml:space="preserve"> PAGE   \* MERGEFORMAT </w:instrText>
    </w:r>
    <w:r>
      <w:fldChar w:fldCharType="separate"/>
    </w:r>
    <w:r w:rsidR="009F313E">
      <w:rPr>
        <w:noProof/>
      </w:rPr>
      <w:t>1</w:t>
    </w:r>
    <w:r>
      <w:rPr>
        <w:noProof/>
      </w:rPr>
      <w:fldChar w:fldCharType="end"/>
    </w:r>
  </w:p>
  <w:p w14:paraId="1E4C4BE4" w14:textId="3F8C0F85" w:rsidR="00C15796" w:rsidRPr="00040D09" w:rsidRDefault="00C15796">
    <w:pPr>
      <w:pStyle w:val="Footer"/>
      <w:rPr>
        <w:b/>
        <w:color w:val="FF0000"/>
      </w:rPr>
    </w:pPr>
    <w:r>
      <w:tab/>
    </w:r>
    <w:r w:rsidR="00893151">
      <w:rPr>
        <w:b/>
        <w:color w:val="FF0000"/>
      </w:rPr>
      <w:t xml:space="preserve">APPROVED </w:t>
    </w:r>
    <w:r w:rsidR="00AA553E">
      <w:rPr>
        <w:b/>
        <w:color w:val="FF0000"/>
      </w:rPr>
      <w:t>MINUTES &amp; ACTIONS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455F" w14:textId="77777777" w:rsidR="00F2570D" w:rsidRDefault="00F2570D" w:rsidP="00E61189">
      <w:pPr>
        <w:spacing w:after="0" w:line="240" w:lineRule="auto"/>
      </w:pPr>
      <w:r>
        <w:separator/>
      </w:r>
    </w:p>
  </w:footnote>
  <w:footnote w:type="continuationSeparator" w:id="0">
    <w:p w14:paraId="27432880" w14:textId="77777777" w:rsidR="00F2570D" w:rsidRDefault="00F2570D" w:rsidP="00E61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FFE4" w14:textId="1885810E" w:rsidR="00615961" w:rsidRDefault="00F71B06" w:rsidP="00F71B06">
    <w:pPr>
      <w:pStyle w:val="Header"/>
      <w:jc w:val="center"/>
    </w:pPr>
    <w:r w:rsidRPr="00F71B06">
      <w:rPr>
        <w:noProof/>
      </w:rPr>
      <w:drawing>
        <wp:inline distT="0" distB="0" distL="0" distR="0" wp14:anchorId="2AD1AA0E" wp14:editId="4875B659">
          <wp:extent cx="2114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14550"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CD3"/>
    <w:multiLevelType w:val="hybridMultilevel"/>
    <w:tmpl w:val="5F28E6E2"/>
    <w:lvl w:ilvl="0" w:tplc="0809001B">
      <w:start w:val="1"/>
      <w:numFmt w:val="lowerRoman"/>
      <w:lvlText w:val="%1."/>
      <w:lvlJc w:val="righ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 w15:restartNumberingAfterBreak="0">
    <w:nsid w:val="05181A4D"/>
    <w:multiLevelType w:val="hybridMultilevel"/>
    <w:tmpl w:val="006EEFB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797C55"/>
    <w:multiLevelType w:val="hybridMultilevel"/>
    <w:tmpl w:val="2180864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B453D6"/>
    <w:multiLevelType w:val="hybridMultilevel"/>
    <w:tmpl w:val="006EEF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E6203A"/>
    <w:multiLevelType w:val="hybridMultilevel"/>
    <w:tmpl w:val="60621F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5E6F8B"/>
    <w:multiLevelType w:val="multilevel"/>
    <w:tmpl w:val="078CDA94"/>
    <w:lvl w:ilvl="0">
      <w:start w:val="1"/>
      <w:numFmt w:val="upperRoman"/>
      <w:lvlText w:val="%1."/>
      <w:lvlJc w:val="right"/>
      <w:pPr>
        <w:ind w:left="2160" w:hanging="360"/>
      </w:pPr>
    </w:lvl>
    <w:lvl w:ilvl="1">
      <w:start w:val="1"/>
      <w:numFmt w:val="decimal"/>
      <w:isLgl/>
      <w:lvlText w:val="%1.%2"/>
      <w:lvlJc w:val="left"/>
      <w:pPr>
        <w:ind w:left="2280" w:hanging="480"/>
      </w:pPr>
      <w:rPr>
        <w:rFonts w:hint="default"/>
        <w:color w:val="FF0000"/>
      </w:rPr>
    </w:lvl>
    <w:lvl w:ilvl="2">
      <w:start w:val="4"/>
      <w:numFmt w:val="decimal"/>
      <w:isLgl/>
      <w:lvlText w:val="%1.%2.%3"/>
      <w:lvlJc w:val="left"/>
      <w:pPr>
        <w:ind w:left="2520" w:hanging="720"/>
      </w:pPr>
      <w:rPr>
        <w:rFonts w:hint="default"/>
        <w:color w:val="FF0000"/>
      </w:rPr>
    </w:lvl>
    <w:lvl w:ilvl="3">
      <w:start w:val="1"/>
      <w:numFmt w:val="decimal"/>
      <w:isLgl/>
      <w:lvlText w:val="%1.%2.%3.%4"/>
      <w:lvlJc w:val="left"/>
      <w:pPr>
        <w:ind w:left="252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2880" w:hanging="1080"/>
      </w:pPr>
      <w:rPr>
        <w:rFonts w:hint="default"/>
        <w:color w:val="FF0000"/>
      </w:rPr>
    </w:lvl>
    <w:lvl w:ilvl="6">
      <w:start w:val="1"/>
      <w:numFmt w:val="decimal"/>
      <w:isLgl/>
      <w:lvlText w:val="%1.%2.%3.%4.%5.%6.%7"/>
      <w:lvlJc w:val="left"/>
      <w:pPr>
        <w:ind w:left="3240" w:hanging="1440"/>
      </w:pPr>
      <w:rPr>
        <w:rFonts w:hint="default"/>
        <w:color w:val="FF0000"/>
      </w:rPr>
    </w:lvl>
    <w:lvl w:ilvl="7">
      <w:start w:val="1"/>
      <w:numFmt w:val="decimal"/>
      <w:isLgl/>
      <w:lvlText w:val="%1.%2.%3.%4.%5.%6.%7.%8"/>
      <w:lvlJc w:val="left"/>
      <w:pPr>
        <w:ind w:left="3240" w:hanging="1440"/>
      </w:pPr>
      <w:rPr>
        <w:rFonts w:hint="default"/>
        <w:color w:val="FF0000"/>
      </w:rPr>
    </w:lvl>
    <w:lvl w:ilvl="8">
      <w:start w:val="1"/>
      <w:numFmt w:val="decimal"/>
      <w:isLgl/>
      <w:lvlText w:val="%1.%2.%3.%4.%5.%6.%7.%8.%9"/>
      <w:lvlJc w:val="left"/>
      <w:pPr>
        <w:ind w:left="3600" w:hanging="1800"/>
      </w:pPr>
      <w:rPr>
        <w:rFonts w:hint="default"/>
        <w:color w:val="FF0000"/>
      </w:rPr>
    </w:lvl>
  </w:abstractNum>
  <w:abstractNum w:abstractNumId="6" w15:restartNumberingAfterBreak="0">
    <w:nsid w:val="2DD1626C"/>
    <w:multiLevelType w:val="hybridMultilevel"/>
    <w:tmpl w:val="60621F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8B22B8"/>
    <w:multiLevelType w:val="hybridMultilevel"/>
    <w:tmpl w:val="855475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41070E"/>
    <w:multiLevelType w:val="hybridMultilevel"/>
    <w:tmpl w:val="855475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9C5090F"/>
    <w:multiLevelType w:val="hybridMultilevel"/>
    <w:tmpl w:val="8A4E618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0" w15:restartNumberingAfterBreak="0">
    <w:nsid w:val="3B4161F7"/>
    <w:multiLevelType w:val="hybridMultilevel"/>
    <w:tmpl w:val="D02803F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7369B1"/>
    <w:multiLevelType w:val="hybridMultilevel"/>
    <w:tmpl w:val="7D5EDE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9F32EB7"/>
    <w:multiLevelType w:val="hybridMultilevel"/>
    <w:tmpl w:val="D02803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472625E"/>
    <w:multiLevelType w:val="hybridMultilevel"/>
    <w:tmpl w:val="855475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EE24336"/>
    <w:multiLevelType w:val="hybridMultilevel"/>
    <w:tmpl w:val="E3AE2B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AE004E"/>
    <w:multiLevelType w:val="hybridMultilevel"/>
    <w:tmpl w:val="D898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3025A"/>
    <w:multiLevelType w:val="hybridMultilevel"/>
    <w:tmpl w:val="2180864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7107B52"/>
    <w:multiLevelType w:val="hybridMultilevel"/>
    <w:tmpl w:val="2180864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162392"/>
    <w:multiLevelType w:val="hybridMultilevel"/>
    <w:tmpl w:val="D02803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E903330"/>
    <w:multiLevelType w:val="hybridMultilevel"/>
    <w:tmpl w:val="60621F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6003551">
    <w:abstractNumId w:val="3"/>
  </w:num>
  <w:num w:numId="2" w16cid:durableId="874198931">
    <w:abstractNumId w:val="14"/>
  </w:num>
  <w:num w:numId="3" w16cid:durableId="1395198105">
    <w:abstractNumId w:val="0"/>
  </w:num>
  <w:num w:numId="4" w16cid:durableId="1571500299">
    <w:abstractNumId w:val="8"/>
  </w:num>
  <w:num w:numId="5" w16cid:durableId="58132644">
    <w:abstractNumId w:val="13"/>
  </w:num>
  <w:num w:numId="6" w16cid:durableId="1672944972">
    <w:abstractNumId w:val="5"/>
  </w:num>
  <w:num w:numId="7" w16cid:durableId="1035155619">
    <w:abstractNumId w:val="7"/>
  </w:num>
  <w:num w:numId="8" w16cid:durableId="246118358">
    <w:abstractNumId w:val="6"/>
  </w:num>
  <w:num w:numId="9" w16cid:durableId="2128086117">
    <w:abstractNumId w:val="10"/>
  </w:num>
  <w:num w:numId="10" w16cid:durableId="1840385955">
    <w:abstractNumId w:val="16"/>
  </w:num>
  <w:num w:numId="11" w16cid:durableId="321349682">
    <w:abstractNumId w:val="2"/>
  </w:num>
  <w:num w:numId="12" w16cid:durableId="1251769988">
    <w:abstractNumId w:val="17"/>
  </w:num>
  <w:num w:numId="13" w16cid:durableId="1730109161">
    <w:abstractNumId w:val="12"/>
  </w:num>
  <w:num w:numId="14" w16cid:durableId="2024549119">
    <w:abstractNumId w:val="11"/>
  </w:num>
  <w:num w:numId="15" w16cid:durableId="1237206677">
    <w:abstractNumId w:val="18"/>
  </w:num>
  <w:num w:numId="16" w16cid:durableId="1869179516">
    <w:abstractNumId w:val="15"/>
  </w:num>
  <w:num w:numId="17" w16cid:durableId="938873778">
    <w:abstractNumId w:val="9"/>
  </w:num>
  <w:num w:numId="18" w16cid:durableId="427048996">
    <w:abstractNumId w:val="4"/>
  </w:num>
  <w:num w:numId="19" w16cid:durableId="1760251160">
    <w:abstractNumId w:val="19"/>
  </w:num>
  <w:num w:numId="20" w16cid:durableId="109859986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FI+/x0owR6lySs6KVikn2RQZRK0uRM2V7uLPQqHFMUHeBeZssYSweNaJ8bWG78EBHH1IHc8CTNwyW4m+/1K7A==" w:salt="QBEpC8paQxj+4XFhozcp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6AC"/>
    <w:rsid w:val="0000506A"/>
    <w:rsid w:val="000122A4"/>
    <w:rsid w:val="00012657"/>
    <w:rsid w:val="0001564A"/>
    <w:rsid w:val="00017070"/>
    <w:rsid w:val="0002439D"/>
    <w:rsid w:val="00025D6F"/>
    <w:rsid w:val="00026DEB"/>
    <w:rsid w:val="000276DC"/>
    <w:rsid w:val="0003075C"/>
    <w:rsid w:val="00033F04"/>
    <w:rsid w:val="00033F53"/>
    <w:rsid w:val="00036FD3"/>
    <w:rsid w:val="00037DBF"/>
    <w:rsid w:val="000406DC"/>
    <w:rsid w:val="00040D09"/>
    <w:rsid w:val="000415CD"/>
    <w:rsid w:val="00045A74"/>
    <w:rsid w:val="00054EC1"/>
    <w:rsid w:val="0005576A"/>
    <w:rsid w:val="00057FC0"/>
    <w:rsid w:val="0006079D"/>
    <w:rsid w:val="0006210C"/>
    <w:rsid w:val="000644AB"/>
    <w:rsid w:val="00066005"/>
    <w:rsid w:val="00067B1D"/>
    <w:rsid w:val="00067CE7"/>
    <w:rsid w:val="00072878"/>
    <w:rsid w:val="00075B1A"/>
    <w:rsid w:val="00075E1E"/>
    <w:rsid w:val="00080305"/>
    <w:rsid w:val="000817B8"/>
    <w:rsid w:val="00081D5E"/>
    <w:rsid w:val="000907A0"/>
    <w:rsid w:val="00090D83"/>
    <w:rsid w:val="00091E58"/>
    <w:rsid w:val="00092588"/>
    <w:rsid w:val="00093DA4"/>
    <w:rsid w:val="000B0428"/>
    <w:rsid w:val="000B5C20"/>
    <w:rsid w:val="000C329B"/>
    <w:rsid w:val="000C44CA"/>
    <w:rsid w:val="000C45E4"/>
    <w:rsid w:val="000C5369"/>
    <w:rsid w:val="000C54FA"/>
    <w:rsid w:val="000C7E7C"/>
    <w:rsid w:val="000D3C8C"/>
    <w:rsid w:val="000D64B2"/>
    <w:rsid w:val="000E000F"/>
    <w:rsid w:val="000E39C5"/>
    <w:rsid w:val="000E42C2"/>
    <w:rsid w:val="000E6392"/>
    <w:rsid w:val="000F617B"/>
    <w:rsid w:val="00100543"/>
    <w:rsid w:val="00110B07"/>
    <w:rsid w:val="00113F87"/>
    <w:rsid w:val="0011483A"/>
    <w:rsid w:val="001170FC"/>
    <w:rsid w:val="001264DD"/>
    <w:rsid w:val="0013096C"/>
    <w:rsid w:val="00132A6B"/>
    <w:rsid w:val="00143881"/>
    <w:rsid w:val="00143A92"/>
    <w:rsid w:val="00143E1C"/>
    <w:rsid w:val="0014532C"/>
    <w:rsid w:val="00147007"/>
    <w:rsid w:val="00153389"/>
    <w:rsid w:val="0016521D"/>
    <w:rsid w:val="0017067D"/>
    <w:rsid w:val="00172723"/>
    <w:rsid w:val="0018429D"/>
    <w:rsid w:val="00184A95"/>
    <w:rsid w:val="00187DFB"/>
    <w:rsid w:val="001912C3"/>
    <w:rsid w:val="00192783"/>
    <w:rsid w:val="00192890"/>
    <w:rsid w:val="00193B35"/>
    <w:rsid w:val="001956AC"/>
    <w:rsid w:val="001A0991"/>
    <w:rsid w:val="001A4144"/>
    <w:rsid w:val="001C2C98"/>
    <w:rsid w:val="001D1413"/>
    <w:rsid w:val="001D3BD8"/>
    <w:rsid w:val="001D6F20"/>
    <w:rsid w:val="001F4856"/>
    <w:rsid w:val="001F6A2B"/>
    <w:rsid w:val="002017D4"/>
    <w:rsid w:val="00205D85"/>
    <w:rsid w:val="002107C2"/>
    <w:rsid w:val="0022444B"/>
    <w:rsid w:val="00224510"/>
    <w:rsid w:val="0022518A"/>
    <w:rsid w:val="00232560"/>
    <w:rsid w:val="0024037B"/>
    <w:rsid w:val="002413B5"/>
    <w:rsid w:val="00241AF6"/>
    <w:rsid w:val="00247547"/>
    <w:rsid w:val="002570F3"/>
    <w:rsid w:val="00257152"/>
    <w:rsid w:val="002647FA"/>
    <w:rsid w:val="00266F29"/>
    <w:rsid w:val="0027085C"/>
    <w:rsid w:val="00271C0B"/>
    <w:rsid w:val="0027250C"/>
    <w:rsid w:val="0027362C"/>
    <w:rsid w:val="002801B2"/>
    <w:rsid w:val="00283094"/>
    <w:rsid w:val="00293633"/>
    <w:rsid w:val="00295073"/>
    <w:rsid w:val="002A2A87"/>
    <w:rsid w:val="002A31C1"/>
    <w:rsid w:val="002A34B9"/>
    <w:rsid w:val="002A5E7F"/>
    <w:rsid w:val="002A601C"/>
    <w:rsid w:val="002B15E5"/>
    <w:rsid w:val="002B43AB"/>
    <w:rsid w:val="002C1978"/>
    <w:rsid w:val="002C1F8C"/>
    <w:rsid w:val="002C7812"/>
    <w:rsid w:val="002D0994"/>
    <w:rsid w:val="002D6950"/>
    <w:rsid w:val="002E4B20"/>
    <w:rsid w:val="002F23C5"/>
    <w:rsid w:val="002F37E5"/>
    <w:rsid w:val="00302821"/>
    <w:rsid w:val="003043AF"/>
    <w:rsid w:val="003062A4"/>
    <w:rsid w:val="003067AD"/>
    <w:rsid w:val="00306E2D"/>
    <w:rsid w:val="0031041D"/>
    <w:rsid w:val="0032280C"/>
    <w:rsid w:val="003250C9"/>
    <w:rsid w:val="00325DD6"/>
    <w:rsid w:val="003433E3"/>
    <w:rsid w:val="003503EB"/>
    <w:rsid w:val="003577AC"/>
    <w:rsid w:val="0037476B"/>
    <w:rsid w:val="00374C47"/>
    <w:rsid w:val="00376E5B"/>
    <w:rsid w:val="00381456"/>
    <w:rsid w:val="00384BA4"/>
    <w:rsid w:val="00392793"/>
    <w:rsid w:val="00394D1E"/>
    <w:rsid w:val="003A5541"/>
    <w:rsid w:val="003A5BC4"/>
    <w:rsid w:val="003B03DE"/>
    <w:rsid w:val="003B1852"/>
    <w:rsid w:val="003B3CBB"/>
    <w:rsid w:val="003B44C9"/>
    <w:rsid w:val="003B639E"/>
    <w:rsid w:val="003B6526"/>
    <w:rsid w:val="003B663B"/>
    <w:rsid w:val="003C21D5"/>
    <w:rsid w:val="003D2AEB"/>
    <w:rsid w:val="003D45D5"/>
    <w:rsid w:val="003D6A3F"/>
    <w:rsid w:val="003E5D70"/>
    <w:rsid w:val="003F7BFF"/>
    <w:rsid w:val="00400353"/>
    <w:rsid w:val="0040384B"/>
    <w:rsid w:val="00404142"/>
    <w:rsid w:val="00404C62"/>
    <w:rsid w:val="00414023"/>
    <w:rsid w:val="00417469"/>
    <w:rsid w:val="00421542"/>
    <w:rsid w:val="00423B8B"/>
    <w:rsid w:val="00424541"/>
    <w:rsid w:val="00432472"/>
    <w:rsid w:val="004377A7"/>
    <w:rsid w:val="00440C4C"/>
    <w:rsid w:val="004443C1"/>
    <w:rsid w:val="004448FE"/>
    <w:rsid w:val="004523CB"/>
    <w:rsid w:val="00452DC4"/>
    <w:rsid w:val="00453078"/>
    <w:rsid w:val="00453286"/>
    <w:rsid w:val="004574A6"/>
    <w:rsid w:val="00460B39"/>
    <w:rsid w:val="00460F44"/>
    <w:rsid w:val="00461227"/>
    <w:rsid w:val="00465F9B"/>
    <w:rsid w:val="0047462B"/>
    <w:rsid w:val="00483A9B"/>
    <w:rsid w:val="00484CC2"/>
    <w:rsid w:val="00486342"/>
    <w:rsid w:val="00487A1C"/>
    <w:rsid w:val="00491DCE"/>
    <w:rsid w:val="004922E4"/>
    <w:rsid w:val="004961F0"/>
    <w:rsid w:val="004A0AC8"/>
    <w:rsid w:val="004A2117"/>
    <w:rsid w:val="004A2625"/>
    <w:rsid w:val="004B2054"/>
    <w:rsid w:val="004B4B9C"/>
    <w:rsid w:val="004B4CB0"/>
    <w:rsid w:val="004B63DD"/>
    <w:rsid w:val="004C5721"/>
    <w:rsid w:val="004C5C24"/>
    <w:rsid w:val="004C7C81"/>
    <w:rsid w:val="004D2CB0"/>
    <w:rsid w:val="004D4C63"/>
    <w:rsid w:val="004D7E81"/>
    <w:rsid w:val="004E24BF"/>
    <w:rsid w:val="004E504C"/>
    <w:rsid w:val="004E5439"/>
    <w:rsid w:val="004E5DA3"/>
    <w:rsid w:val="004E678A"/>
    <w:rsid w:val="004F01B8"/>
    <w:rsid w:val="004F1452"/>
    <w:rsid w:val="004F356E"/>
    <w:rsid w:val="005002E5"/>
    <w:rsid w:val="005021D6"/>
    <w:rsid w:val="00504B06"/>
    <w:rsid w:val="0051432E"/>
    <w:rsid w:val="00520D1B"/>
    <w:rsid w:val="005313CB"/>
    <w:rsid w:val="005379B4"/>
    <w:rsid w:val="00541329"/>
    <w:rsid w:val="00541DAC"/>
    <w:rsid w:val="005459C7"/>
    <w:rsid w:val="0054719B"/>
    <w:rsid w:val="00551116"/>
    <w:rsid w:val="0055168D"/>
    <w:rsid w:val="00554F87"/>
    <w:rsid w:val="005707FC"/>
    <w:rsid w:val="005812ED"/>
    <w:rsid w:val="00582753"/>
    <w:rsid w:val="00584193"/>
    <w:rsid w:val="00584CFB"/>
    <w:rsid w:val="00585D6F"/>
    <w:rsid w:val="00587375"/>
    <w:rsid w:val="005908A6"/>
    <w:rsid w:val="0059134F"/>
    <w:rsid w:val="005A20AD"/>
    <w:rsid w:val="005A2712"/>
    <w:rsid w:val="005A2D62"/>
    <w:rsid w:val="005A57C4"/>
    <w:rsid w:val="005B006C"/>
    <w:rsid w:val="005B59AC"/>
    <w:rsid w:val="005C35E3"/>
    <w:rsid w:val="005C6938"/>
    <w:rsid w:val="005D1BAC"/>
    <w:rsid w:val="005D2D9A"/>
    <w:rsid w:val="005E1BFF"/>
    <w:rsid w:val="005E6325"/>
    <w:rsid w:val="005E71AD"/>
    <w:rsid w:val="005F3A77"/>
    <w:rsid w:val="0060222E"/>
    <w:rsid w:val="00605DBD"/>
    <w:rsid w:val="0060663E"/>
    <w:rsid w:val="006118CA"/>
    <w:rsid w:val="00612021"/>
    <w:rsid w:val="006155BD"/>
    <w:rsid w:val="00615961"/>
    <w:rsid w:val="00624C80"/>
    <w:rsid w:val="006343F2"/>
    <w:rsid w:val="0063681E"/>
    <w:rsid w:val="00637756"/>
    <w:rsid w:val="00641624"/>
    <w:rsid w:val="006419ED"/>
    <w:rsid w:val="006425DC"/>
    <w:rsid w:val="0064408D"/>
    <w:rsid w:val="00645550"/>
    <w:rsid w:val="006457C8"/>
    <w:rsid w:val="00651C00"/>
    <w:rsid w:val="00653607"/>
    <w:rsid w:val="00655C92"/>
    <w:rsid w:val="00657DA5"/>
    <w:rsid w:val="00660290"/>
    <w:rsid w:val="006668F5"/>
    <w:rsid w:val="00673CF3"/>
    <w:rsid w:val="00673EF2"/>
    <w:rsid w:val="00675247"/>
    <w:rsid w:val="00682AD5"/>
    <w:rsid w:val="00694132"/>
    <w:rsid w:val="00695142"/>
    <w:rsid w:val="006A1E18"/>
    <w:rsid w:val="006A3747"/>
    <w:rsid w:val="006A6315"/>
    <w:rsid w:val="006A6ECD"/>
    <w:rsid w:val="006B36A6"/>
    <w:rsid w:val="006B3790"/>
    <w:rsid w:val="006B5132"/>
    <w:rsid w:val="006B5688"/>
    <w:rsid w:val="006C2E20"/>
    <w:rsid w:val="006C34FB"/>
    <w:rsid w:val="006D0CBA"/>
    <w:rsid w:val="006D3416"/>
    <w:rsid w:val="006E7933"/>
    <w:rsid w:val="006F4958"/>
    <w:rsid w:val="007022CD"/>
    <w:rsid w:val="007046BC"/>
    <w:rsid w:val="00707870"/>
    <w:rsid w:val="00714A24"/>
    <w:rsid w:val="0072050B"/>
    <w:rsid w:val="00721B00"/>
    <w:rsid w:val="00721B15"/>
    <w:rsid w:val="00725071"/>
    <w:rsid w:val="00725D95"/>
    <w:rsid w:val="0072797A"/>
    <w:rsid w:val="00730C6B"/>
    <w:rsid w:val="007323F9"/>
    <w:rsid w:val="00741622"/>
    <w:rsid w:val="00751125"/>
    <w:rsid w:val="007566A3"/>
    <w:rsid w:val="00761373"/>
    <w:rsid w:val="007730CC"/>
    <w:rsid w:val="00773B8A"/>
    <w:rsid w:val="007777A1"/>
    <w:rsid w:val="00777FF0"/>
    <w:rsid w:val="00782E12"/>
    <w:rsid w:val="00783684"/>
    <w:rsid w:val="00784CC1"/>
    <w:rsid w:val="00785198"/>
    <w:rsid w:val="00791CD0"/>
    <w:rsid w:val="0079213F"/>
    <w:rsid w:val="00795670"/>
    <w:rsid w:val="00795952"/>
    <w:rsid w:val="00796356"/>
    <w:rsid w:val="007A1E92"/>
    <w:rsid w:val="007A576A"/>
    <w:rsid w:val="007A5847"/>
    <w:rsid w:val="007A5968"/>
    <w:rsid w:val="007B2C2E"/>
    <w:rsid w:val="007B3A3F"/>
    <w:rsid w:val="007B486D"/>
    <w:rsid w:val="007B6CC8"/>
    <w:rsid w:val="007B727A"/>
    <w:rsid w:val="007C053A"/>
    <w:rsid w:val="007D33A4"/>
    <w:rsid w:val="007D36C8"/>
    <w:rsid w:val="007D53DD"/>
    <w:rsid w:val="007D5FA6"/>
    <w:rsid w:val="007D64EE"/>
    <w:rsid w:val="007E4018"/>
    <w:rsid w:val="007E5DC0"/>
    <w:rsid w:val="0080121D"/>
    <w:rsid w:val="00801C9B"/>
    <w:rsid w:val="00804F8C"/>
    <w:rsid w:val="00811F45"/>
    <w:rsid w:val="0081520D"/>
    <w:rsid w:val="00815EB1"/>
    <w:rsid w:val="008176C9"/>
    <w:rsid w:val="00822E18"/>
    <w:rsid w:val="0082702E"/>
    <w:rsid w:val="008369CA"/>
    <w:rsid w:val="00842F86"/>
    <w:rsid w:val="00842FE0"/>
    <w:rsid w:val="00844372"/>
    <w:rsid w:val="008460F3"/>
    <w:rsid w:val="00847E10"/>
    <w:rsid w:val="00850BFB"/>
    <w:rsid w:val="00855DF0"/>
    <w:rsid w:val="0086282F"/>
    <w:rsid w:val="0086315B"/>
    <w:rsid w:val="00863500"/>
    <w:rsid w:val="00865CB6"/>
    <w:rsid w:val="008727A7"/>
    <w:rsid w:val="008729B7"/>
    <w:rsid w:val="00872FAD"/>
    <w:rsid w:val="008759D1"/>
    <w:rsid w:val="00875DE9"/>
    <w:rsid w:val="0088166F"/>
    <w:rsid w:val="00893151"/>
    <w:rsid w:val="008962DA"/>
    <w:rsid w:val="008B56E2"/>
    <w:rsid w:val="008C1BCB"/>
    <w:rsid w:val="008C38C3"/>
    <w:rsid w:val="008C4511"/>
    <w:rsid w:val="008D18F5"/>
    <w:rsid w:val="008D4B81"/>
    <w:rsid w:val="008E0569"/>
    <w:rsid w:val="008E0D6E"/>
    <w:rsid w:val="008E4221"/>
    <w:rsid w:val="008E4475"/>
    <w:rsid w:val="008E46E9"/>
    <w:rsid w:val="008E491A"/>
    <w:rsid w:val="008E52FA"/>
    <w:rsid w:val="008E71B7"/>
    <w:rsid w:val="008F0326"/>
    <w:rsid w:val="008F18CD"/>
    <w:rsid w:val="008F27D0"/>
    <w:rsid w:val="008F3A48"/>
    <w:rsid w:val="008F44F4"/>
    <w:rsid w:val="008F696D"/>
    <w:rsid w:val="009113C6"/>
    <w:rsid w:val="009115F8"/>
    <w:rsid w:val="00917248"/>
    <w:rsid w:val="00920517"/>
    <w:rsid w:val="00921212"/>
    <w:rsid w:val="009219DF"/>
    <w:rsid w:val="00932217"/>
    <w:rsid w:val="00935CE8"/>
    <w:rsid w:val="0094081F"/>
    <w:rsid w:val="00942AA8"/>
    <w:rsid w:val="00944F91"/>
    <w:rsid w:val="00946010"/>
    <w:rsid w:val="00950D79"/>
    <w:rsid w:val="009511F5"/>
    <w:rsid w:val="00953EAD"/>
    <w:rsid w:val="00953FC1"/>
    <w:rsid w:val="00962550"/>
    <w:rsid w:val="00966A41"/>
    <w:rsid w:val="00966EE3"/>
    <w:rsid w:val="0097581A"/>
    <w:rsid w:val="009805C2"/>
    <w:rsid w:val="009934D7"/>
    <w:rsid w:val="00995568"/>
    <w:rsid w:val="009962FE"/>
    <w:rsid w:val="00996CFF"/>
    <w:rsid w:val="00997F72"/>
    <w:rsid w:val="009A336F"/>
    <w:rsid w:val="009A664C"/>
    <w:rsid w:val="009A6EA3"/>
    <w:rsid w:val="009B1601"/>
    <w:rsid w:val="009B16F4"/>
    <w:rsid w:val="009B1F4B"/>
    <w:rsid w:val="009B2EE7"/>
    <w:rsid w:val="009B68C2"/>
    <w:rsid w:val="009C06F1"/>
    <w:rsid w:val="009C590E"/>
    <w:rsid w:val="009C6B7E"/>
    <w:rsid w:val="009C7965"/>
    <w:rsid w:val="009D3A5E"/>
    <w:rsid w:val="009D4897"/>
    <w:rsid w:val="009F20F6"/>
    <w:rsid w:val="009F2917"/>
    <w:rsid w:val="009F313E"/>
    <w:rsid w:val="009F36F7"/>
    <w:rsid w:val="009F4955"/>
    <w:rsid w:val="009F7D5E"/>
    <w:rsid w:val="00A0387A"/>
    <w:rsid w:val="00A15483"/>
    <w:rsid w:val="00A262BB"/>
    <w:rsid w:val="00A26665"/>
    <w:rsid w:val="00A27F7F"/>
    <w:rsid w:val="00A33A89"/>
    <w:rsid w:val="00A34642"/>
    <w:rsid w:val="00A34721"/>
    <w:rsid w:val="00A36EAE"/>
    <w:rsid w:val="00A421DB"/>
    <w:rsid w:val="00A42280"/>
    <w:rsid w:val="00A43BA5"/>
    <w:rsid w:val="00A447A7"/>
    <w:rsid w:val="00A4562F"/>
    <w:rsid w:val="00A50609"/>
    <w:rsid w:val="00A51B86"/>
    <w:rsid w:val="00A549D8"/>
    <w:rsid w:val="00A55127"/>
    <w:rsid w:val="00A5741D"/>
    <w:rsid w:val="00A57A41"/>
    <w:rsid w:val="00A57BC2"/>
    <w:rsid w:val="00A6129C"/>
    <w:rsid w:val="00A702F6"/>
    <w:rsid w:val="00A70CD3"/>
    <w:rsid w:val="00A76B4C"/>
    <w:rsid w:val="00A77A82"/>
    <w:rsid w:val="00A805D0"/>
    <w:rsid w:val="00A830A4"/>
    <w:rsid w:val="00A86ECE"/>
    <w:rsid w:val="00A9522B"/>
    <w:rsid w:val="00A97498"/>
    <w:rsid w:val="00AA553E"/>
    <w:rsid w:val="00AA6299"/>
    <w:rsid w:val="00AB0E3E"/>
    <w:rsid w:val="00AB0F29"/>
    <w:rsid w:val="00AB16FD"/>
    <w:rsid w:val="00AB1B56"/>
    <w:rsid w:val="00AB26E1"/>
    <w:rsid w:val="00AB56F9"/>
    <w:rsid w:val="00AB638A"/>
    <w:rsid w:val="00AC5B30"/>
    <w:rsid w:val="00AC6573"/>
    <w:rsid w:val="00AC705E"/>
    <w:rsid w:val="00AD051D"/>
    <w:rsid w:val="00AD439D"/>
    <w:rsid w:val="00AD778A"/>
    <w:rsid w:val="00AE38E1"/>
    <w:rsid w:val="00AE3B05"/>
    <w:rsid w:val="00AE73E4"/>
    <w:rsid w:val="00AF07CD"/>
    <w:rsid w:val="00B009DF"/>
    <w:rsid w:val="00B0301E"/>
    <w:rsid w:val="00B0382E"/>
    <w:rsid w:val="00B15F5A"/>
    <w:rsid w:val="00B17801"/>
    <w:rsid w:val="00B178F3"/>
    <w:rsid w:val="00B22F0A"/>
    <w:rsid w:val="00B23172"/>
    <w:rsid w:val="00B267BF"/>
    <w:rsid w:val="00B43C87"/>
    <w:rsid w:val="00B44915"/>
    <w:rsid w:val="00B55475"/>
    <w:rsid w:val="00B5797C"/>
    <w:rsid w:val="00B630FD"/>
    <w:rsid w:val="00B64DA4"/>
    <w:rsid w:val="00B65752"/>
    <w:rsid w:val="00B70CE9"/>
    <w:rsid w:val="00B733F2"/>
    <w:rsid w:val="00B73C76"/>
    <w:rsid w:val="00B76877"/>
    <w:rsid w:val="00B81C6B"/>
    <w:rsid w:val="00B828ED"/>
    <w:rsid w:val="00B8711A"/>
    <w:rsid w:val="00B9239E"/>
    <w:rsid w:val="00BA1262"/>
    <w:rsid w:val="00BA22C4"/>
    <w:rsid w:val="00BA2C1F"/>
    <w:rsid w:val="00BA3059"/>
    <w:rsid w:val="00BA3AEC"/>
    <w:rsid w:val="00BA76BF"/>
    <w:rsid w:val="00BA7800"/>
    <w:rsid w:val="00BB10F5"/>
    <w:rsid w:val="00BB161D"/>
    <w:rsid w:val="00BB2DFB"/>
    <w:rsid w:val="00BC0FBB"/>
    <w:rsid w:val="00BC1754"/>
    <w:rsid w:val="00BC239E"/>
    <w:rsid w:val="00BC2A16"/>
    <w:rsid w:val="00BD0028"/>
    <w:rsid w:val="00BD00D9"/>
    <w:rsid w:val="00BD4328"/>
    <w:rsid w:val="00BD54A7"/>
    <w:rsid w:val="00BD6F7F"/>
    <w:rsid w:val="00BE1D72"/>
    <w:rsid w:val="00BE30B8"/>
    <w:rsid w:val="00BE47F0"/>
    <w:rsid w:val="00BE5A53"/>
    <w:rsid w:val="00BF6216"/>
    <w:rsid w:val="00BF6642"/>
    <w:rsid w:val="00C0690A"/>
    <w:rsid w:val="00C070B0"/>
    <w:rsid w:val="00C12622"/>
    <w:rsid w:val="00C13FBA"/>
    <w:rsid w:val="00C15796"/>
    <w:rsid w:val="00C22BCD"/>
    <w:rsid w:val="00C25AA4"/>
    <w:rsid w:val="00C263DC"/>
    <w:rsid w:val="00C3418C"/>
    <w:rsid w:val="00C537D4"/>
    <w:rsid w:val="00C61280"/>
    <w:rsid w:val="00C67F72"/>
    <w:rsid w:val="00C71B5D"/>
    <w:rsid w:val="00C728BF"/>
    <w:rsid w:val="00C81258"/>
    <w:rsid w:val="00C81D50"/>
    <w:rsid w:val="00C90235"/>
    <w:rsid w:val="00C94AF1"/>
    <w:rsid w:val="00C9666F"/>
    <w:rsid w:val="00C974B7"/>
    <w:rsid w:val="00CB441A"/>
    <w:rsid w:val="00CC1494"/>
    <w:rsid w:val="00CC2B5E"/>
    <w:rsid w:val="00CC591D"/>
    <w:rsid w:val="00CC6F14"/>
    <w:rsid w:val="00CD1016"/>
    <w:rsid w:val="00CD1A87"/>
    <w:rsid w:val="00CD3BBA"/>
    <w:rsid w:val="00CE2B7A"/>
    <w:rsid w:val="00CE5846"/>
    <w:rsid w:val="00CF0816"/>
    <w:rsid w:val="00CF1775"/>
    <w:rsid w:val="00CF3F74"/>
    <w:rsid w:val="00CF4E26"/>
    <w:rsid w:val="00CF51ED"/>
    <w:rsid w:val="00D0136E"/>
    <w:rsid w:val="00D023A9"/>
    <w:rsid w:val="00D04B66"/>
    <w:rsid w:val="00D10836"/>
    <w:rsid w:val="00D117A8"/>
    <w:rsid w:val="00D13CC6"/>
    <w:rsid w:val="00D17888"/>
    <w:rsid w:val="00D2031F"/>
    <w:rsid w:val="00D22D39"/>
    <w:rsid w:val="00D26B31"/>
    <w:rsid w:val="00D2719E"/>
    <w:rsid w:val="00D312DF"/>
    <w:rsid w:val="00D342FF"/>
    <w:rsid w:val="00D3433F"/>
    <w:rsid w:val="00D46006"/>
    <w:rsid w:val="00D526A9"/>
    <w:rsid w:val="00D56959"/>
    <w:rsid w:val="00D73A7A"/>
    <w:rsid w:val="00D7779C"/>
    <w:rsid w:val="00D77CD7"/>
    <w:rsid w:val="00D81278"/>
    <w:rsid w:val="00D81833"/>
    <w:rsid w:val="00D82CF2"/>
    <w:rsid w:val="00D83BDC"/>
    <w:rsid w:val="00D87B9D"/>
    <w:rsid w:val="00DA1684"/>
    <w:rsid w:val="00DA2B4E"/>
    <w:rsid w:val="00DA695E"/>
    <w:rsid w:val="00DB051F"/>
    <w:rsid w:val="00DB0BCC"/>
    <w:rsid w:val="00DB2021"/>
    <w:rsid w:val="00DB4709"/>
    <w:rsid w:val="00DB5833"/>
    <w:rsid w:val="00DB5CD5"/>
    <w:rsid w:val="00DC4FDF"/>
    <w:rsid w:val="00DC5591"/>
    <w:rsid w:val="00DC6AB9"/>
    <w:rsid w:val="00DC6F4A"/>
    <w:rsid w:val="00DD0A71"/>
    <w:rsid w:val="00DD46DC"/>
    <w:rsid w:val="00DD48BA"/>
    <w:rsid w:val="00DD712E"/>
    <w:rsid w:val="00DE193C"/>
    <w:rsid w:val="00DE367F"/>
    <w:rsid w:val="00DE47F3"/>
    <w:rsid w:val="00DF196E"/>
    <w:rsid w:val="00E0175E"/>
    <w:rsid w:val="00E13DD2"/>
    <w:rsid w:val="00E15CEA"/>
    <w:rsid w:val="00E245FA"/>
    <w:rsid w:val="00E26FB3"/>
    <w:rsid w:val="00E30502"/>
    <w:rsid w:val="00E32430"/>
    <w:rsid w:val="00E33905"/>
    <w:rsid w:val="00E339E0"/>
    <w:rsid w:val="00E36508"/>
    <w:rsid w:val="00E40BAC"/>
    <w:rsid w:val="00E4128E"/>
    <w:rsid w:val="00E47A29"/>
    <w:rsid w:val="00E509CA"/>
    <w:rsid w:val="00E5260B"/>
    <w:rsid w:val="00E53744"/>
    <w:rsid w:val="00E5545D"/>
    <w:rsid w:val="00E55638"/>
    <w:rsid w:val="00E561F3"/>
    <w:rsid w:val="00E56594"/>
    <w:rsid w:val="00E6055F"/>
    <w:rsid w:val="00E61189"/>
    <w:rsid w:val="00E6145F"/>
    <w:rsid w:val="00E7047C"/>
    <w:rsid w:val="00E7192A"/>
    <w:rsid w:val="00E73749"/>
    <w:rsid w:val="00E7377D"/>
    <w:rsid w:val="00E76AF5"/>
    <w:rsid w:val="00E85B9E"/>
    <w:rsid w:val="00E8723E"/>
    <w:rsid w:val="00E9012D"/>
    <w:rsid w:val="00E94460"/>
    <w:rsid w:val="00E945A9"/>
    <w:rsid w:val="00EA0D68"/>
    <w:rsid w:val="00EA2092"/>
    <w:rsid w:val="00EA4CB0"/>
    <w:rsid w:val="00EA688D"/>
    <w:rsid w:val="00EB0ED8"/>
    <w:rsid w:val="00EB1BB1"/>
    <w:rsid w:val="00EB7FF3"/>
    <w:rsid w:val="00EC2370"/>
    <w:rsid w:val="00EC2926"/>
    <w:rsid w:val="00EC5B62"/>
    <w:rsid w:val="00EC6EF3"/>
    <w:rsid w:val="00EC742F"/>
    <w:rsid w:val="00EC77C5"/>
    <w:rsid w:val="00ED1473"/>
    <w:rsid w:val="00ED19F7"/>
    <w:rsid w:val="00ED2605"/>
    <w:rsid w:val="00ED3AB6"/>
    <w:rsid w:val="00EE530D"/>
    <w:rsid w:val="00EE64AF"/>
    <w:rsid w:val="00EF0287"/>
    <w:rsid w:val="00EF579D"/>
    <w:rsid w:val="00EF653F"/>
    <w:rsid w:val="00EF6E28"/>
    <w:rsid w:val="00F03362"/>
    <w:rsid w:val="00F03AC4"/>
    <w:rsid w:val="00F03F2A"/>
    <w:rsid w:val="00F04BBC"/>
    <w:rsid w:val="00F06C83"/>
    <w:rsid w:val="00F15D0D"/>
    <w:rsid w:val="00F16151"/>
    <w:rsid w:val="00F2136D"/>
    <w:rsid w:val="00F219FC"/>
    <w:rsid w:val="00F21DB2"/>
    <w:rsid w:val="00F2570D"/>
    <w:rsid w:val="00F27878"/>
    <w:rsid w:val="00F30220"/>
    <w:rsid w:val="00F32007"/>
    <w:rsid w:val="00F407A6"/>
    <w:rsid w:val="00F40F73"/>
    <w:rsid w:val="00F411E0"/>
    <w:rsid w:val="00F4383D"/>
    <w:rsid w:val="00F5054F"/>
    <w:rsid w:val="00F53690"/>
    <w:rsid w:val="00F56F38"/>
    <w:rsid w:val="00F60E64"/>
    <w:rsid w:val="00F628F3"/>
    <w:rsid w:val="00F642CE"/>
    <w:rsid w:val="00F650A7"/>
    <w:rsid w:val="00F71B06"/>
    <w:rsid w:val="00F72F85"/>
    <w:rsid w:val="00F73863"/>
    <w:rsid w:val="00F77FCC"/>
    <w:rsid w:val="00F82B0F"/>
    <w:rsid w:val="00F84F1D"/>
    <w:rsid w:val="00F942C0"/>
    <w:rsid w:val="00FC3DA4"/>
    <w:rsid w:val="00FC4167"/>
    <w:rsid w:val="00FC5822"/>
    <w:rsid w:val="00FC5CD7"/>
    <w:rsid w:val="00FC7B5C"/>
    <w:rsid w:val="00FD3515"/>
    <w:rsid w:val="00FD5FA7"/>
    <w:rsid w:val="00FE4FA0"/>
    <w:rsid w:val="00FF2543"/>
    <w:rsid w:val="00FF6886"/>
    <w:rsid w:val="00FF7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B5DC3"/>
  <w15:chartTrackingRefBased/>
  <w15:docId w15:val="{C79F2F7F-4F81-4ECC-8071-A8A80D53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A6"/>
    <w:pPr>
      <w:spacing w:after="200" w:line="276" w:lineRule="auto"/>
    </w:pPr>
    <w:rPr>
      <w:sz w:val="22"/>
      <w:szCs w:val="22"/>
      <w:lang w:eastAsia="en-US"/>
    </w:rPr>
  </w:style>
  <w:style w:type="paragraph" w:styleId="Heading2">
    <w:name w:val="heading 2"/>
    <w:basedOn w:val="ListParagraph"/>
    <w:next w:val="Normal"/>
    <w:link w:val="Heading2Char"/>
    <w:uiPriority w:val="9"/>
    <w:unhideWhenUsed/>
    <w:qFormat/>
    <w:rsid w:val="003B1852"/>
    <w:pPr>
      <w:keepNext/>
      <w:tabs>
        <w:tab w:val="left" w:pos="1077"/>
      </w:tabs>
      <w:ind w:left="714" w:hanging="357"/>
      <w:contextualSpacing w:val="0"/>
      <w:outlineLvl w:val="1"/>
    </w:pPr>
    <w:rPr>
      <w:rFonts w:asciiTheme="minorHAnsi" w:eastAsiaTheme="minorHAnsi" w:hAnsiTheme="minorHAnsi" w:cstheme="min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1189"/>
    <w:pPr>
      <w:tabs>
        <w:tab w:val="center" w:pos="4513"/>
        <w:tab w:val="right" w:pos="9026"/>
      </w:tabs>
    </w:pPr>
  </w:style>
  <w:style w:type="character" w:customStyle="1" w:styleId="HeaderChar">
    <w:name w:val="Header Char"/>
    <w:link w:val="Header"/>
    <w:uiPriority w:val="99"/>
    <w:rsid w:val="00E61189"/>
    <w:rPr>
      <w:sz w:val="22"/>
      <w:szCs w:val="22"/>
      <w:lang w:eastAsia="en-US"/>
    </w:rPr>
  </w:style>
  <w:style w:type="paragraph" w:styleId="Footer">
    <w:name w:val="footer"/>
    <w:basedOn w:val="Normal"/>
    <w:link w:val="FooterChar"/>
    <w:uiPriority w:val="99"/>
    <w:unhideWhenUsed/>
    <w:rsid w:val="00E61189"/>
    <w:pPr>
      <w:tabs>
        <w:tab w:val="center" w:pos="4513"/>
        <w:tab w:val="right" w:pos="9026"/>
      </w:tabs>
    </w:pPr>
  </w:style>
  <w:style w:type="character" w:customStyle="1" w:styleId="FooterChar">
    <w:name w:val="Footer Char"/>
    <w:link w:val="Footer"/>
    <w:uiPriority w:val="99"/>
    <w:rsid w:val="00E61189"/>
    <w:rPr>
      <w:sz w:val="22"/>
      <w:szCs w:val="22"/>
      <w:lang w:eastAsia="en-US"/>
    </w:rPr>
  </w:style>
  <w:style w:type="paragraph" w:styleId="BalloonText">
    <w:name w:val="Balloon Text"/>
    <w:basedOn w:val="Normal"/>
    <w:link w:val="BalloonTextChar"/>
    <w:uiPriority w:val="99"/>
    <w:semiHidden/>
    <w:unhideWhenUsed/>
    <w:rsid w:val="00E611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1189"/>
    <w:rPr>
      <w:rFonts w:ascii="Tahoma" w:hAnsi="Tahoma" w:cs="Tahoma"/>
      <w:sz w:val="16"/>
      <w:szCs w:val="16"/>
      <w:lang w:eastAsia="en-US"/>
    </w:rPr>
  </w:style>
  <w:style w:type="paragraph" w:styleId="PlainText">
    <w:name w:val="Plain Text"/>
    <w:basedOn w:val="Normal"/>
    <w:link w:val="PlainTextChar"/>
    <w:uiPriority w:val="99"/>
    <w:unhideWhenUsed/>
    <w:rsid w:val="00F56F38"/>
    <w:pPr>
      <w:spacing w:after="0" w:line="240" w:lineRule="auto"/>
    </w:pPr>
    <w:rPr>
      <w:szCs w:val="21"/>
    </w:rPr>
  </w:style>
  <w:style w:type="character" w:customStyle="1" w:styleId="PlainTextChar">
    <w:name w:val="Plain Text Char"/>
    <w:link w:val="PlainText"/>
    <w:uiPriority w:val="99"/>
    <w:rsid w:val="00F56F38"/>
    <w:rPr>
      <w:sz w:val="22"/>
      <w:szCs w:val="21"/>
      <w:lang w:eastAsia="en-US"/>
    </w:rPr>
  </w:style>
  <w:style w:type="paragraph" w:styleId="NoSpacing">
    <w:name w:val="No Spacing"/>
    <w:uiPriority w:val="1"/>
    <w:qFormat/>
    <w:rsid w:val="00092588"/>
    <w:rPr>
      <w:sz w:val="22"/>
      <w:szCs w:val="22"/>
      <w:lang w:eastAsia="en-US"/>
    </w:rPr>
  </w:style>
  <w:style w:type="paragraph" w:styleId="ListParagraph">
    <w:name w:val="List Paragraph"/>
    <w:basedOn w:val="Normal"/>
    <w:link w:val="ListParagraphChar"/>
    <w:uiPriority w:val="34"/>
    <w:qFormat/>
    <w:rsid w:val="00DD46DC"/>
    <w:pPr>
      <w:spacing w:after="160" w:line="259" w:lineRule="auto"/>
      <w:ind w:left="720"/>
      <w:contextualSpacing/>
    </w:pPr>
    <w:rPr>
      <w:rFonts w:cs="Arial"/>
    </w:rPr>
  </w:style>
  <w:style w:type="character" w:customStyle="1" w:styleId="Heading2Char">
    <w:name w:val="Heading 2 Char"/>
    <w:basedOn w:val="DefaultParagraphFont"/>
    <w:link w:val="Heading2"/>
    <w:uiPriority w:val="9"/>
    <w:rsid w:val="003B1852"/>
    <w:rPr>
      <w:rFonts w:asciiTheme="minorHAnsi" w:eastAsiaTheme="minorHAnsi" w:hAnsiTheme="minorHAnsi" w:cstheme="minorBidi"/>
      <w:b/>
      <w:bCs/>
      <w:color w:val="000000" w:themeColor="text1"/>
      <w:sz w:val="24"/>
      <w:szCs w:val="24"/>
      <w:lang w:eastAsia="en-US"/>
    </w:rPr>
  </w:style>
  <w:style w:type="character" w:customStyle="1" w:styleId="ListParagraphChar">
    <w:name w:val="List Paragraph Char"/>
    <w:basedOn w:val="DefaultParagraphFont"/>
    <w:link w:val="ListParagraph"/>
    <w:uiPriority w:val="34"/>
    <w:rsid w:val="003B1852"/>
    <w:rPr>
      <w:rFonts w:cs="Arial"/>
      <w:sz w:val="22"/>
      <w:szCs w:val="22"/>
      <w:lang w:eastAsia="en-US"/>
    </w:rPr>
  </w:style>
  <w:style w:type="paragraph" w:styleId="NormalWeb">
    <w:name w:val="Normal (Web)"/>
    <w:basedOn w:val="Normal"/>
    <w:uiPriority w:val="99"/>
    <w:unhideWhenUsed/>
    <w:rsid w:val="00AB26E1"/>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B26E1"/>
    <w:rPr>
      <w:b/>
      <w:bCs/>
    </w:rPr>
  </w:style>
  <w:style w:type="paragraph" w:styleId="Revision">
    <w:name w:val="Revision"/>
    <w:hidden/>
    <w:uiPriority w:val="99"/>
    <w:semiHidden/>
    <w:rsid w:val="0080121D"/>
    <w:rPr>
      <w:sz w:val="22"/>
      <w:szCs w:val="22"/>
      <w:lang w:eastAsia="en-US"/>
    </w:rPr>
  </w:style>
  <w:style w:type="character" w:styleId="CommentReference">
    <w:name w:val="annotation reference"/>
    <w:basedOn w:val="DefaultParagraphFont"/>
    <w:uiPriority w:val="99"/>
    <w:semiHidden/>
    <w:unhideWhenUsed/>
    <w:rsid w:val="0080121D"/>
    <w:rPr>
      <w:sz w:val="16"/>
      <w:szCs w:val="16"/>
    </w:rPr>
  </w:style>
  <w:style w:type="paragraph" w:styleId="CommentText">
    <w:name w:val="annotation text"/>
    <w:basedOn w:val="Normal"/>
    <w:link w:val="CommentTextChar"/>
    <w:uiPriority w:val="99"/>
    <w:unhideWhenUsed/>
    <w:rsid w:val="0080121D"/>
    <w:pPr>
      <w:spacing w:line="240" w:lineRule="auto"/>
    </w:pPr>
    <w:rPr>
      <w:sz w:val="20"/>
      <w:szCs w:val="20"/>
    </w:rPr>
  </w:style>
  <w:style w:type="character" w:customStyle="1" w:styleId="CommentTextChar">
    <w:name w:val="Comment Text Char"/>
    <w:basedOn w:val="DefaultParagraphFont"/>
    <w:link w:val="CommentText"/>
    <w:uiPriority w:val="99"/>
    <w:rsid w:val="0080121D"/>
    <w:rPr>
      <w:lang w:eastAsia="en-US"/>
    </w:rPr>
  </w:style>
  <w:style w:type="paragraph" w:styleId="CommentSubject">
    <w:name w:val="annotation subject"/>
    <w:basedOn w:val="CommentText"/>
    <w:next w:val="CommentText"/>
    <w:link w:val="CommentSubjectChar"/>
    <w:uiPriority w:val="99"/>
    <w:semiHidden/>
    <w:unhideWhenUsed/>
    <w:rsid w:val="0080121D"/>
    <w:rPr>
      <w:b/>
      <w:bCs/>
    </w:rPr>
  </w:style>
  <w:style w:type="character" w:customStyle="1" w:styleId="CommentSubjectChar">
    <w:name w:val="Comment Subject Char"/>
    <w:basedOn w:val="CommentTextChar"/>
    <w:link w:val="CommentSubject"/>
    <w:uiPriority w:val="99"/>
    <w:semiHidden/>
    <w:rsid w:val="0080121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5236">
      <w:bodyDiv w:val="1"/>
      <w:marLeft w:val="0"/>
      <w:marRight w:val="0"/>
      <w:marTop w:val="0"/>
      <w:marBottom w:val="0"/>
      <w:divBdr>
        <w:top w:val="none" w:sz="0" w:space="0" w:color="auto"/>
        <w:left w:val="none" w:sz="0" w:space="0" w:color="auto"/>
        <w:bottom w:val="none" w:sz="0" w:space="0" w:color="auto"/>
        <w:right w:val="none" w:sz="0" w:space="0" w:color="auto"/>
      </w:divBdr>
    </w:div>
    <w:div w:id="637690414">
      <w:bodyDiv w:val="1"/>
      <w:marLeft w:val="0"/>
      <w:marRight w:val="0"/>
      <w:marTop w:val="0"/>
      <w:marBottom w:val="0"/>
      <w:divBdr>
        <w:top w:val="none" w:sz="0" w:space="0" w:color="auto"/>
        <w:left w:val="none" w:sz="0" w:space="0" w:color="auto"/>
        <w:bottom w:val="none" w:sz="0" w:space="0" w:color="auto"/>
        <w:right w:val="none" w:sz="0" w:space="0" w:color="auto"/>
      </w:divBdr>
    </w:div>
    <w:div w:id="924068025">
      <w:bodyDiv w:val="1"/>
      <w:marLeft w:val="0"/>
      <w:marRight w:val="0"/>
      <w:marTop w:val="0"/>
      <w:marBottom w:val="0"/>
      <w:divBdr>
        <w:top w:val="none" w:sz="0" w:space="0" w:color="auto"/>
        <w:left w:val="none" w:sz="0" w:space="0" w:color="auto"/>
        <w:bottom w:val="none" w:sz="0" w:space="0" w:color="auto"/>
        <w:right w:val="none" w:sz="0" w:space="0" w:color="auto"/>
      </w:divBdr>
    </w:div>
    <w:div w:id="1243102783">
      <w:bodyDiv w:val="1"/>
      <w:marLeft w:val="0"/>
      <w:marRight w:val="0"/>
      <w:marTop w:val="0"/>
      <w:marBottom w:val="0"/>
      <w:divBdr>
        <w:top w:val="none" w:sz="0" w:space="0" w:color="auto"/>
        <w:left w:val="none" w:sz="0" w:space="0" w:color="auto"/>
        <w:bottom w:val="none" w:sz="0" w:space="0" w:color="auto"/>
        <w:right w:val="none" w:sz="0" w:space="0" w:color="auto"/>
      </w:divBdr>
    </w:div>
    <w:div w:id="1374882999">
      <w:bodyDiv w:val="1"/>
      <w:marLeft w:val="0"/>
      <w:marRight w:val="0"/>
      <w:marTop w:val="0"/>
      <w:marBottom w:val="0"/>
      <w:divBdr>
        <w:top w:val="none" w:sz="0" w:space="0" w:color="auto"/>
        <w:left w:val="none" w:sz="0" w:space="0" w:color="auto"/>
        <w:bottom w:val="none" w:sz="0" w:space="0" w:color="auto"/>
        <w:right w:val="none" w:sz="0" w:space="0" w:color="auto"/>
      </w:divBdr>
    </w:div>
    <w:div w:id="1414816678">
      <w:bodyDiv w:val="1"/>
      <w:marLeft w:val="0"/>
      <w:marRight w:val="0"/>
      <w:marTop w:val="0"/>
      <w:marBottom w:val="0"/>
      <w:divBdr>
        <w:top w:val="none" w:sz="0" w:space="0" w:color="auto"/>
        <w:left w:val="none" w:sz="0" w:space="0" w:color="auto"/>
        <w:bottom w:val="none" w:sz="0" w:space="0" w:color="auto"/>
        <w:right w:val="none" w:sz="0" w:space="0" w:color="auto"/>
      </w:divBdr>
    </w:div>
    <w:div w:id="1624774066">
      <w:bodyDiv w:val="1"/>
      <w:marLeft w:val="0"/>
      <w:marRight w:val="0"/>
      <w:marTop w:val="0"/>
      <w:marBottom w:val="0"/>
      <w:divBdr>
        <w:top w:val="none" w:sz="0" w:space="0" w:color="auto"/>
        <w:left w:val="none" w:sz="0" w:space="0" w:color="auto"/>
        <w:bottom w:val="none" w:sz="0" w:space="0" w:color="auto"/>
        <w:right w:val="none" w:sz="0" w:space="0" w:color="auto"/>
      </w:divBdr>
    </w:div>
    <w:div w:id="176082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6B46-ACF1-46CF-A98B-ABC2D040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4866</Words>
  <Characters>27738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Northampton Borough Council</Company>
  <LinksUpToDate>false</LinksUpToDate>
  <CharactersWithSpaces>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Taylor</dc:creator>
  <cp:keywords/>
  <cp:lastModifiedBy>Liza Ellis</cp:lastModifiedBy>
  <cp:revision>2</cp:revision>
  <cp:lastPrinted>2014-09-29T10:55:00Z</cp:lastPrinted>
  <dcterms:created xsi:type="dcterms:W3CDTF">2026-04-29T11:16:00Z</dcterms:created>
  <dcterms:modified xsi:type="dcterms:W3CDTF">2026-04-29T11:16:00Z</dcterms:modified>
</cp:coreProperties>
</file>